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9FFA5" w14:textId="77777777" w:rsidR="00817F91" w:rsidRPr="00346F07" w:rsidRDefault="00817F91" w:rsidP="00817F91">
      <w:pPr>
        <w:suppressAutoHyphens/>
        <w:spacing w:before="105" w:after="0"/>
        <w:jc w:val="center"/>
        <w:rPr>
          <w:b/>
          <w:color w:val="000000" w:themeColor="text1"/>
        </w:rPr>
      </w:pPr>
      <w:bookmarkStart w:id="0" w:name="_GoBack"/>
      <w:bookmarkEnd w:id="0"/>
      <w:r w:rsidRPr="00346F07">
        <w:rPr>
          <w:b/>
          <w:color w:val="000000" w:themeColor="text1"/>
        </w:rPr>
        <w:t>UZASADNIENIE</w:t>
      </w:r>
    </w:p>
    <w:p w14:paraId="57214F81" w14:textId="75B48FD4" w:rsidR="00817F91" w:rsidRDefault="00817F91" w:rsidP="00817F91">
      <w:pPr>
        <w:spacing w:before="105" w:after="0"/>
        <w:jc w:val="both"/>
        <w:rPr>
          <w:b/>
          <w:color w:val="000000" w:themeColor="text1"/>
        </w:rPr>
      </w:pPr>
    </w:p>
    <w:p w14:paraId="33F3FDA7" w14:textId="101CA97D" w:rsidR="00817F91" w:rsidRPr="00346F07" w:rsidRDefault="00F112B1" w:rsidP="00A90DD3">
      <w:pPr>
        <w:spacing w:before="105" w:after="0"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I. </w:t>
      </w:r>
      <w:r w:rsidR="00817F91" w:rsidRPr="00346F07">
        <w:rPr>
          <w:b/>
          <w:color w:val="000000" w:themeColor="text1"/>
        </w:rPr>
        <w:t>Cel wydania rozporządzenia</w:t>
      </w:r>
    </w:p>
    <w:p w14:paraId="3256B7D3" w14:textId="5A08DA57" w:rsidR="00817F91" w:rsidRPr="00346F07" w:rsidRDefault="005B0006" w:rsidP="00DD024E">
      <w:pPr>
        <w:spacing w:before="120" w:after="0" w:line="360" w:lineRule="auto"/>
        <w:jc w:val="both"/>
        <w:rPr>
          <w:color w:val="000000" w:themeColor="text1"/>
        </w:rPr>
      </w:pPr>
      <w:r w:rsidRPr="00346F07">
        <w:rPr>
          <w:color w:val="000000" w:themeColor="text1"/>
        </w:rPr>
        <w:t>Celem</w:t>
      </w:r>
      <w:r w:rsidR="001361F0" w:rsidRPr="00346F07">
        <w:rPr>
          <w:color w:val="000000" w:themeColor="text1"/>
        </w:rPr>
        <w:t xml:space="preserve"> zmiany rozporządzenia </w:t>
      </w:r>
      <w:r w:rsidR="00DD024E" w:rsidRPr="00346F07">
        <w:rPr>
          <w:color w:val="000000" w:themeColor="text1"/>
        </w:rPr>
        <w:t xml:space="preserve">Ministra Infrastruktury </w:t>
      </w:r>
      <w:r w:rsidR="005B76F2" w:rsidRPr="00346F07">
        <w:t>z</w:t>
      </w:r>
      <w:r w:rsidR="003C4238">
        <w:t xml:space="preserve"> </w:t>
      </w:r>
      <w:r w:rsidR="005B76F2" w:rsidRPr="00346F07">
        <w:t>dnia 26 listopada 2020 r. w</w:t>
      </w:r>
      <w:r w:rsidR="003C4238">
        <w:t xml:space="preserve"> </w:t>
      </w:r>
      <w:r w:rsidR="005B76F2" w:rsidRPr="00346F07">
        <w:t>sprawie lotniczych urządzeń naziemnych i powierzchni ograniczających zabudowę (Dz. U. poz. 2161)</w:t>
      </w:r>
      <w:r w:rsidR="00F7211F" w:rsidRPr="00346F07">
        <w:t xml:space="preserve"> jest doprecyzowanie </w:t>
      </w:r>
      <w:r w:rsidR="00DF6A70">
        <w:t xml:space="preserve">kwestii </w:t>
      </w:r>
      <w:r w:rsidR="001259B8">
        <w:t>określania rozmiarów granic</w:t>
      </w:r>
      <w:r w:rsidR="00BC5F7A">
        <w:t xml:space="preserve"> </w:t>
      </w:r>
      <w:r w:rsidR="00F7211F" w:rsidRPr="00346F07">
        <w:t xml:space="preserve">stref </w:t>
      </w:r>
      <w:r w:rsidR="00F7211F" w:rsidRPr="00346F07">
        <w:rPr>
          <w:color w:val="000000" w:themeColor="text1"/>
        </w:rPr>
        <w:t xml:space="preserve">powierzchni ograniczających zabudowę </w:t>
      </w:r>
      <w:r w:rsidR="001A77EC">
        <w:rPr>
          <w:color w:val="000000" w:themeColor="text1"/>
        </w:rPr>
        <w:t>wokół</w:t>
      </w:r>
      <w:r w:rsidR="00F7211F" w:rsidRPr="00346F07">
        <w:rPr>
          <w:color w:val="000000" w:themeColor="text1"/>
        </w:rPr>
        <w:t xml:space="preserve"> radarów meteorologicznych</w:t>
      </w:r>
      <w:r w:rsidR="00ED6002" w:rsidRPr="00346F07">
        <w:rPr>
          <w:color w:val="000000" w:themeColor="text1"/>
        </w:rPr>
        <w:t>.</w:t>
      </w:r>
    </w:p>
    <w:p w14:paraId="43D6F06B" w14:textId="54F67C45" w:rsidR="00ED6002" w:rsidRPr="00346F07" w:rsidRDefault="00ED6002" w:rsidP="00534FAF">
      <w:pPr>
        <w:spacing w:after="0" w:line="360" w:lineRule="auto"/>
        <w:jc w:val="both"/>
        <w:rPr>
          <w:color w:val="000000" w:themeColor="text1"/>
        </w:rPr>
      </w:pPr>
    </w:p>
    <w:p w14:paraId="27D21FC0" w14:textId="2B5C0C8C" w:rsidR="00817F91" w:rsidRPr="006E5902" w:rsidRDefault="00F112B1" w:rsidP="00534FAF">
      <w:pPr>
        <w:suppressAutoHyphens/>
        <w:spacing w:after="0" w:line="360" w:lineRule="auto"/>
        <w:jc w:val="both"/>
        <w:rPr>
          <w:color w:val="auto"/>
        </w:rPr>
      </w:pPr>
      <w:r>
        <w:rPr>
          <w:b/>
          <w:color w:val="auto"/>
        </w:rPr>
        <w:t>II. </w:t>
      </w:r>
      <w:r w:rsidR="008C17E9" w:rsidRPr="008C17E9">
        <w:rPr>
          <w:b/>
          <w:color w:val="auto"/>
        </w:rPr>
        <w:t>Wskazanie różnic między dotychczasowym a projektowanym stanem prawnym</w:t>
      </w:r>
    </w:p>
    <w:p w14:paraId="2ACF739D" w14:textId="179E4526" w:rsidR="008C17E9" w:rsidRDefault="00817F91" w:rsidP="00014254">
      <w:pPr>
        <w:spacing w:before="120" w:after="0" w:line="360" w:lineRule="auto"/>
        <w:jc w:val="both"/>
        <w:rPr>
          <w:color w:val="auto"/>
        </w:rPr>
      </w:pPr>
      <w:r w:rsidRPr="006E5902">
        <w:rPr>
          <w:color w:val="auto"/>
        </w:rPr>
        <w:t>Zmian</w:t>
      </w:r>
      <w:r w:rsidR="00F7211F" w:rsidRPr="006E5902">
        <w:rPr>
          <w:color w:val="auto"/>
        </w:rPr>
        <w:t>a</w:t>
      </w:r>
      <w:r w:rsidRPr="006E5902">
        <w:rPr>
          <w:color w:val="auto"/>
        </w:rPr>
        <w:t xml:space="preserve"> w stosunku do obowiązującego </w:t>
      </w:r>
      <w:r w:rsidR="00D84E3B" w:rsidRPr="006E5902">
        <w:rPr>
          <w:color w:val="auto"/>
        </w:rPr>
        <w:t>rozp</w:t>
      </w:r>
      <w:r w:rsidR="00F94195" w:rsidRPr="006E5902">
        <w:rPr>
          <w:color w:val="auto"/>
        </w:rPr>
        <w:t>orządzenia</w:t>
      </w:r>
      <w:r w:rsidR="009C7C76" w:rsidRPr="006E5902">
        <w:rPr>
          <w:color w:val="auto"/>
        </w:rPr>
        <w:t xml:space="preserve"> </w:t>
      </w:r>
      <w:r w:rsidR="00F7211F" w:rsidRPr="006E5902">
        <w:rPr>
          <w:color w:val="auto"/>
        </w:rPr>
        <w:t>Ministra Infrastruktury z</w:t>
      </w:r>
      <w:r w:rsidR="003C4238">
        <w:rPr>
          <w:color w:val="auto"/>
        </w:rPr>
        <w:t xml:space="preserve"> </w:t>
      </w:r>
      <w:r w:rsidR="00F7211F" w:rsidRPr="006E5902">
        <w:rPr>
          <w:color w:val="auto"/>
        </w:rPr>
        <w:t>dnia 26 listopada 2020 r. w</w:t>
      </w:r>
      <w:r w:rsidR="003C4238">
        <w:rPr>
          <w:color w:val="auto"/>
        </w:rPr>
        <w:t xml:space="preserve"> </w:t>
      </w:r>
      <w:r w:rsidR="00F7211F" w:rsidRPr="006E5902">
        <w:rPr>
          <w:color w:val="auto"/>
        </w:rPr>
        <w:t>sprawie lotniczych urządzeń naziemnych i powierzchni ograniczających zabudowę</w:t>
      </w:r>
      <w:r w:rsidR="00BC5F7A">
        <w:rPr>
          <w:color w:val="auto"/>
        </w:rPr>
        <w:t xml:space="preserve"> </w:t>
      </w:r>
      <w:r w:rsidR="001A77EC">
        <w:rPr>
          <w:color w:val="auto"/>
        </w:rPr>
        <w:t xml:space="preserve">sprowadza się do </w:t>
      </w:r>
      <w:r w:rsidR="00346F07" w:rsidRPr="006E5902">
        <w:rPr>
          <w:color w:val="auto"/>
        </w:rPr>
        <w:t>wprowadzeni</w:t>
      </w:r>
      <w:r w:rsidR="001A77EC">
        <w:rPr>
          <w:color w:val="auto"/>
        </w:rPr>
        <w:t>a</w:t>
      </w:r>
      <w:r w:rsidR="00346F07" w:rsidRPr="006E5902">
        <w:rPr>
          <w:color w:val="auto"/>
        </w:rPr>
        <w:t xml:space="preserve"> </w:t>
      </w:r>
      <w:r w:rsidR="001259B8">
        <w:rPr>
          <w:color w:val="auto"/>
        </w:rPr>
        <w:t>korekt</w:t>
      </w:r>
      <w:r w:rsidR="001259B8" w:rsidRPr="006E5902">
        <w:rPr>
          <w:color w:val="auto"/>
        </w:rPr>
        <w:t xml:space="preserve"> </w:t>
      </w:r>
      <w:r w:rsidR="00F7211F" w:rsidRPr="006E5902">
        <w:rPr>
          <w:color w:val="auto"/>
        </w:rPr>
        <w:t xml:space="preserve">w </w:t>
      </w:r>
      <w:r w:rsidR="00BC5F7A">
        <w:rPr>
          <w:color w:val="auto"/>
        </w:rPr>
        <w:t>z</w:t>
      </w:r>
      <w:r w:rsidR="00F7211F" w:rsidRPr="006E5902">
        <w:rPr>
          <w:color w:val="auto"/>
        </w:rPr>
        <w:t xml:space="preserve">ałączniku nr 3 </w:t>
      </w:r>
      <w:r w:rsidR="00BC5F7A">
        <w:rPr>
          <w:color w:val="auto"/>
        </w:rPr>
        <w:t>do rozporządzenia</w:t>
      </w:r>
      <w:r w:rsidR="001A77EC">
        <w:rPr>
          <w:color w:val="auto"/>
        </w:rPr>
        <w:t>, wskazującego sposób określania i wyznaczania granic przestrzennych powierzchni ograniczających zabudowę</w:t>
      </w:r>
      <w:r w:rsidR="002A04F8">
        <w:rPr>
          <w:color w:val="auto"/>
        </w:rPr>
        <w:t xml:space="preserve">. W </w:t>
      </w:r>
      <w:r w:rsidR="0055645B">
        <w:rPr>
          <w:color w:val="auto"/>
        </w:rPr>
        <w:t>opisie</w:t>
      </w:r>
      <w:r w:rsidR="00BC5F7A">
        <w:rPr>
          <w:color w:val="auto"/>
        </w:rPr>
        <w:t xml:space="preserve"> </w:t>
      </w:r>
      <w:r w:rsidR="003C4238">
        <w:rPr>
          <w:color w:val="auto"/>
        </w:rPr>
        <w:t>r</w:t>
      </w:r>
      <w:r w:rsidR="003C4238" w:rsidRPr="007472C1">
        <w:rPr>
          <w:color w:val="auto"/>
        </w:rPr>
        <w:t>ys</w:t>
      </w:r>
      <w:r w:rsidR="007472C1" w:rsidRPr="007472C1">
        <w:rPr>
          <w:color w:val="auto"/>
        </w:rPr>
        <w:t>. 5</w:t>
      </w:r>
      <w:r w:rsidR="007472C1">
        <w:rPr>
          <w:color w:val="auto"/>
        </w:rPr>
        <w:t xml:space="preserve"> </w:t>
      </w:r>
      <w:r w:rsidR="008F4952">
        <w:rPr>
          <w:color w:val="auto"/>
        </w:rPr>
        <w:t>określającego k</w:t>
      </w:r>
      <w:r w:rsidR="008F4952" w:rsidRPr="008F4952">
        <w:rPr>
          <w:color w:val="auto"/>
        </w:rPr>
        <w:t>ształt i wymiary powierzchni ograniczających zabudowę wokół dookólnych</w:t>
      </w:r>
      <w:r w:rsidR="008F4952">
        <w:rPr>
          <w:color w:val="auto"/>
        </w:rPr>
        <w:t xml:space="preserve"> </w:t>
      </w:r>
      <w:r w:rsidR="008F4952" w:rsidRPr="008F4952">
        <w:rPr>
          <w:color w:val="auto"/>
        </w:rPr>
        <w:t xml:space="preserve">lotniczych urządzeń naziemnych rodzaju </w:t>
      </w:r>
      <w:r w:rsidR="007D2FC2" w:rsidRPr="001A77EC">
        <w:rPr>
          <w:color w:val="auto"/>
        </w:rPr>
        <w:t>automatyczne systemy pomiarowe parametrów meteorologicznych</w:t>
      </w:r>
      <w:r w:rsidR="007D2FC2">
        <w:rPr>
          <w:color w:val="auto"/>
        </w:rPr>
        <w:t xml:space="preserve"> (</w:t>
      </w:r>
      <w:r w:rsidR="008F4952" w:rsidRPr="008F4952">
        <w:rPr>
          <w:color w:val="auto"/>
        </w:rPr>
        <w:t>MET</w:t>
      </w:r>
      <w:r w:rsidR="007D2FC2">
        <w:rPr>
          <w:color w:val="auto"/>
        </w:rPr>
        <w:t>)</w:t>
      </w:r>
      <w:r w:rsidR="008F4952" w:rsidRPr="008F4952">
        <w:rPr>
          <w:color w:val="auto"/>
        </w:rPr>
        <w:t xml:space="preserve"> przeznaczonych do obserwacji</w:t>
      </w:r>
      <w:r w:rsidR="008F4952">
        <w:rPr>
          <w:color w:val="auto"/>
        </w:rPr>
        <w:t xml:space="preserve"> </w:t>
      </w:r>
      <w:r w:rsidR="008F4952" w:rsidRPr="008F4952">
        <w:rPr>
          <w:color w:val="auto"/>
        </w:rPr>
        <w:t>meteorologicznych</w:t>
      </w:r>
      <w:r w:rsidR="0055645B">
        <w:rPr>
          <w:color w:val="auto"/>
        </w:rPr>
        <w:t xml:space="preserve"> </w:t>
      </w:r>
      <w:r w:rsidR="005B1AFA">
        <w:rPr>
          <w:color w:val="auto"/>
        </w:rPr>
        <w:t>koryguje się treść zdania wskazującego jakich obiektów ograniczenie dotyczy, a następnie wyodrębnia się z ograniczeń strefę od 6</w:t>
      </w:r>
      <w:r w:rsidR="00AD1715">
        <w:rPr>
          <w:color w:val="auto"/>
        </w:rPr>
        <w:t xml:space="preserve"> do </w:t>
      </w:r>
      <w:r w:rsidR="005B1AFA">
        <w:rPr>
          <w:color w:val="auto"/>
        </w:rPr>
        <w:t xml:space="preserve">30 km </w:t>
      </w:r>
      <w:r w:rsidR="00AD1715">
        <w:rPr>
          <w:color w:val="auto"/>
        </w:rPr>
        <w:t xml:space="preserve">od tych urządzeń </w:t>
      </w:r>
      <w:r w:rsidR="005B1AFA">
        <w:rPr>
          <w:color w:val="auto"/>
        </w:rPr>
        <w:t>jako odnoszącą się tylko do turbin wiatrowych</w:t>
      </w:r>
      <w:r w:rsidR="008C17E9">
        <w:rPr>
          <w:color w:val="auto"/>
        </w:rPr>
        <w:t>.</w:t>
      </w:r>
    </w:p>
    <w:p w14:paraId="197129E9" w14:textId="09E731D6" w:rsidR="008C17E9" w:rsidRDefault="008C17E9" w:rsidP="00014254">
      <w:pPr>
        <w:spacing w:after="0" w:line="360" w:lineRule="auto"/>
        <w:jc w:val="both"/>
        <w:rPr>
          <w:color w:val="auto"/>
        </w:rPr>
      </w:pPr>
    </w:p>
    <w:p w14:paraId="2A802E5E" w14:textId="4383A573" w:rsidR="008C17E9" w:rsidRPr="00BF17C8" w:rsidRDefault="008C17E9" w:rsidP="00A90DD3">
      <w:pPr>
        <w:spacing w:after="0" w:line="360" w:lineRule="auto"/>
        <w:jc w:val="both"/>
        <w:rPr>
          <w:b/>
          <w:bCs/>
          <w:color w:val="auto"/>
        </w:rPr>
      </w:pPr>
      <w:r w:rsidRPr="00BF17C8">
        <w:rPr>
          <w:b/>
          <w:bCs/>
          <w:color w:val="auto"/>
        </w:rPr>
        <w:t>I</w:t>
      </w:r>
      <w:r w:rsidR="00F112B1">
        <w:rPr>
          <w:b/>
          <w:bCs/>
          <w:color w:val="auto"/>
        </w:rPr>
        <w:t>II. </w:t>
      </w:r>
      <w:r w:rsidRPr="00BF17C8">
        <w:rPr>
          <w:b/>
          <w:bCs/>
          <w:color w:val="auto"/>
        </w:rPr>
        <w:t>Zakres regulacji</w:t>
      </w:r>
    </w:p>
    <w:p w14:paraId="52320BDD" w14:textId="2DCF893D" w:rsidR="008F4952" w:rsidRPr="00560277" w:rsidRDefault="008F4952" w:rsidP="00014254">
      <w:pPr>
        <w:spacing w:before="120" w:after="0" w:line="360" w:lineRule="auto"/>
        <w:jc w:val="both"/>
        <w:rPr>
          <w:color w:val="FF0000"/>
        </w:rPr>
      </w:pPr>
      <w:r>
        <w:rPr>
          <w:color w:val="auto"/>
        </w:rPr>
        <w:t>Z</w:t>
      </w:r>
      <w:r w:rsidRPr="00560277">
        <w:rPr>
          <w:color w:val="auto"/>
        </w:rPr>
        <w:t xml:space="preserve">miana </w:t>
      </w:r>
      <w:r>
        <w:rPr>
          <w:color w:val="auto"/>
        </w:rPr>
        <w:t>proponowana w §</w:t>
      </w:r>
      <w:r w:rsidRPr="00560277">
        <w:rPr>
          <w:color w:val="auto"/>
        </w:rPr>
        <w:t xml:space="preserve"> 1 pkt</w:t>
      </w:r>
      <w:r>
        <w:rPr>
          <w:color w:val="auto"/>
        </w:rPr>
        <w:t xml:space="preserve"> </w:t>
      </w:r>
      <w:r w:rsidRPr="00560277">
        <w:rPr>
          <w:color w:val="auto"/>
        </w:rPr>
        <w:t>1</w:t>
      </w:r>
      <w:r>
        <w:rPr>
          <w:color w:val="auto"/>
        </w:rPr>
        <w:t xml:space="preserve"> projektu</w:t>
      </w:r>
      <w:r w:rsidRPr="00560277">
        <w:rPr>
          <w:color w:val="auto"/>
        </w:rPr>
        <w:t xml:space="preserve"> </w:t>
      </w:r>
      <w:r>
        <w:rPr>
          <w:color w:val="auto"/>
        </w:rPr>
        <w:t>precyzuje</w:t>
      </w:r>
      <w:r w:rsidRPr="00560277">
        <w:rPr>
          <w:color w:val="auto"/>
        </w:rPr>
        <w:t xml:space="preserve"> redakcję opisu wskazująceg</w:t>
      </w:r>
      <w:r>
        <w:rPr>
          <w:color w:val="auto"/>
        </w:rPr>
        <w:t xml:space="preserve">o na obiekty, których dotyczą </w:t>
      </w:r>
      <w:r w:rsidRPr="00560277">
        <w:rPr>
          <w:color w:val="auto"/>
        </w:rPr>
        <w:t>powierzchnie ograniczające zabudowę, w celu</w:t>
      </w:r>
      <w:r>
        <w:rPr>
          <w:color w:val="auto"/>
        </w:rPr>
        <w:t xml:space="preserve"> uniknięcia wątpliwości interpretacyjnych</w:t>
      </w:r>
      <w:r w:rsidRPr="00560277">
        <w:rPr>
          <w:color w:val="auto"/>
        </w:rPr>
        <w:t>.</w:t>
      </w:r>
    </w:p>
    <w:p w14:paraId="09593C89" w14:textId="5B4974FD" w:rsidR="005B1AFA" w:rsidRDefault="008F4952" w:rsidP="00014254">
      <w:pPr>
        <w:spacing w:before="120" w:after="0" w:line="360" w:lineRule="auto"/>
        <w:jc w:val="both"/>
        <w:rPr>
          <w:color w:val="auto"/>
        </w:rPr>
      </w:pPr>
      <w:r>
        <w:rPr>
          <w:color w:val="auto"/>
        </w:rPr>
        <w:t>Natomiast w</w:t>
      </w:r>
      <w:r w:rsidRPr="008F4952">
        <w:rPr>
          <w:color w:val="auto"/>
        </w:rPr>
        <w:t xml:space="preserve"> § 1 pkt </w:t>
      </w:r>
      <w:r>
        <w:rPr>
          <w:color w:val="auto"/>
        </w:rPr>
        <w:t>2</w:t>
      </w:r>
      <w:r w:rsidRPr="008F4952">
        <w:rPr>
          <w:color w:val="auto"/>
        </w:rPr>
        <w:t xml:space="preserve"> projektu </w:t>
      </w:r>
      <w:r>
        <w:rPr>
          <w:color w:val="auto"/>
        </w:rPr>
        <w:t xml:space="preserve">przewiduje się zmianę </w:t>
      </w:r>
      <w:r w:rsidR="008C17E9" w:rsidRPr="008C17E9">
        <w:rPr>
          <w:color w:val="auto"/>
        </w:rPr>
        <w:t xml:space="preserve">w </w:t>
      </w:r>
      <w:r w:rsidRPr="008C17E9">
        <w:rPr>
          <w:color w:val="auto"/>
        </w:rPr>
        <w:t>opisie</w:t>
      </w:r>
      <w:r>
        <w:rPr>
          <w:color w:val="auto"/>
        </w:rPr>
        <w:t xml:space="preserve"> maksymalnego </w:t>
      </w:r>
      <w:r w:rsidR="008C17E9" w:rsidRPr="008C17E9">
        <w:rPr>
          <w:color w:val="auto"/>
        </w:rPr>
        <w:t>zasięg</w:t>
      </w:r>
      <w:r>
        <w:rPr>
          <w:color w:val="auto"/>
        </w:rPr>
        <w:t>u</w:t>
      </w:r>
      <w:r w:rsidR="008C17E9" w:rsidRPr="008C17E9">
        <w:rPr>
          <w:color w:val="auto"/>
        </w:rPr>
        <w:t xml:space="preserve"> powierzchni ograniczając</w:t>
      </w:r>
      <w:r w:rsidR="007D2FC2">
        <w:rPr>
          <w:color w:val="auto"/>
        </w:rPr>
        <w:t>ej</w:t>
      </w:r>
      <w:r w:rsidR="008C17E9" w:rsidRPr="008C17E9">
        <w:rPr>
          <w:color w:val="auto"/>
        </w:rPr>
        <w:t xml:space="preserve"> zabudowę </w:t>
      </w:r>
      <w:r w:rsidR="007D2FC2">
        <w:rPr>
          <w:color w:val="auto"/>
        </w:rPr>
        <w:t>d</w:t>
      </w:r>
      <w:r w:rsidR="007D2FC2" w:rsidRPr="007D2FC2">
        <w:rPr>
          <w:color w:val="auto"/>
        </w:rPr>
        <w:t>la lotniczych urządzeń naziemnych</w:t>
      </w:r>
      <w:r w:rsidR="007D2FC2">
        <w:rPr>
          <w:color w:val="auto"/>
        </w:rPr>
        <w:t xml:space="preserve"> </w:t>
      </w:r>
      <w:r w:rsidR="007D2FC2" w:rsidRPr="007D2FC2">
        <w:rPr>
          <w:color w:val="auto"/>
        </w:rPr>
        <w:t>rodzaju MET</w:t>
      </w:r>
      <w:r w:rsidR="007D2FC2">
        <w:rPr>
          <w:color w:val="auto"/>
        </w:rPr>
        <w:t xml:space="preserve">, </w:t>
      </w:r>
      <w:r w:rsidR="00346F07" w:rsidRPr="006E5902">
        <w:rPr>
          <w:color w:val="auto"/>
        </w:rPr>
        <w:t>polegają</w:t>
      </w:r>
      <w:r w:rsidR="003C4238">
        <w:rPr>
          <w:color w:val="auto"/>
        </w:rPr>
        <w:t>cą</w:t>
      </w:r>
      <w:r w:rsidR="00346F07" w:rsidRPr="006E5902">
        <w:rPr>
          <w:color w:val="auto"/>
        </w:rPr>
        <w:t xml:space="preserve"> na </w:t>
      </w:r>
      <w:r w:rsidR="002A04F8">
        <w:rPr>
          <w:color w:val="auto"/>
        </w:rPr>
        <w:t>rozdzieleni</w:t>
      </w:r>
      <w:r w:rsidR="005B1AFA">
        <w:rPr>
          <w:color w:val="auto"/>
        </w:rPr>
        <w:t xml:space="preserve">u </w:t>
      </w:r>
      <w:r w:rsidR="00346F07" w:rsidRPr="006E5902">
        <w:rPr>
          <w:color w:val="auto"/>
        </w:rPr>
        <w:t>dotychczasowego zasięgu 30</w:t>
      </w:r>
      <w:r w:rsidR="003C4238">
        <w:rPr>
          <w:color w:val="auto"/>
        </w:rPr>
        <w:t xml:space="preserve"> </w:t>
      </w:r>
      <w:r w:rsidR="00620EE4" w:rsidRPr="006E5902">
        <w:rPr>
          <w:color w:val="auto"/>
        </w:rPr>
        <w:t>km</w:t>
      </w:r>
      <w:r w:rsidR="001A77EC">
        <w:rPr>
          <w:color w:val="auto"/>
        </w:rPr>
        <w:t xml:space="preserve">, </w:t>
      </w:r>
      <w:r w:rsidR="00CE6DF7" w:rsidRPr="006E5902">
        <w:rPr>
          <w:color w:val="auto"/>
        </w:rPr>
        <w:t xml:space="preserve">w ramach którego </w:t>
      </w:r>
      <w:r w:rsidR="006A7B9D" w:rsidRPr="006E5902">
        <w:rPr>
          <w:color w:val="auto"/>
        </w:rPr>
        <w:t>były brane pod uwagę</w:t>
      </w:r>
      <w:r w:rsidR="00CE6DF7" w:rsidRPr="006E5902">
        <w:rPr>
          <w:color w:val="auto"/>
        </w:rPr>
        <w:t xml:space="preserve"> wszystkie rodzaje obiektów</w:t>
      </w:r>
      <w:r w:rsidR="001A77EC">
        <w:rPr>
          <w:color w:val="auto"/>
        </w:rPr>
        <w:t>,</w:t>
      </w:r>
      <w:r w:rsidR="00CE6DF7" w:rsidRPr="006E5902">
        <w:rPr>
          <w:color w:val="auto"/>
        </w:rPr>
        <w:t xml:space="preserve"> </w:t>
      </w:r>
      <w:r w:rsidR="005B1AFA">
        <w:rPr>
          <w:color w:val="auto"/>
        </w:rPr>
        <w:t>na</w:t>
      </w:r>
      <w:r w:rsidR="005B1AFA" w:rsidRPr="006E5902">
        <w:rPr>
          <w:color w:val="auto"/>
        </w:rPr>
        <w:t xml:space="preserve"> </w:t>
      </w:r>
      <w:r w:rsidR="00CE6DF7" w:rsidRPr="006E5902">
        <w:rPr>
          <w:color w:val="auto"/>
        </w:rPr>
        <w:t>zasięg</w:t>
      </w:r>
      <w:r w:rsidR="00620EE4" w:rsidRPr="006E5902">
        <w:rPr>
          <w:color w:val="auto"/>
        </w:rPr>
        <w:t xml:space="preserve"> </w:t>
      </w:r>
      <w:r w:rsidR="005B1AFA">
        <w:rPr>
          <w:color w:val="auto"/>
        </w:rPr>
        <w:t>0</w:t>
      </w:r>
      <w:r w:rsidR="003C4238">
        <w:rPr>
          <w:color w:val="auto"/>
        </w:rPr>
        <w:t>–</w:t>
      </w:r>
      <w:r w:rsidR="00620EE4" w:rsidRPr="006E5902">
        <w:rPr>
          <w:color w:val="auto"/>
        </w:rPr>
        <w:t>6 km</w:t>
      </w:r>
      <w:r w:rsidR="002A04F8">
        <w:rPr>
          <w:color w:val="auto"/>
        </w:rPr>
        <w:t>,</w:t>
      </w:r>
      <w:r w:rsidR="00620EE4" w:rsidRPr="006E5902">
        <w:rPr>
          <w:color w:val="auto"/>
        </w:rPr>
        <w:t xml:space="preserve"> </w:t>
      </w:r>
      <w:r w:rsidR="005B1AFA">
        <w:rPr>
          <w:color w:val="auto"/>
        </w:rPr>
        <w:t>w którym nadal ograniczeniom będą podlega</w:t>
      </w:r>
      <w:r w:rsidR="002A04F8">
        <w:rPr>
          <w:color w:val="auto"/>
        </w:rPr>
        <w:t>ły</w:t>
      </w:r>
      <w:r w:rsidR="005B1AFA">
        <w:rPr>
          <w:color w:val="auto"/>
        </w:rPr>
        <w:t xml:space="preserve"> wszystkie obiekty</w:t>
      </w:r>
      <w:r w:rsidR="002A04F8">
        <w:rPr>
          <w:color w:val="auto"/>
        </w:rPr>
        <w:t>,</w:t>
      </w:r>
      <w:r w:rsidR="005B1AFA">
        <w:rPr>
          <w:color w:val="auto"/>
        </w:rPr>
        <w:t xml:space="preserve"> </w:t>
      </w:r>
      <w:r w:rsidR="001F6861">
        <w:rPr>
          <w:color w:val="auto"/>
        </w:rPr>
        <w:t>oraz</w:t>
      </w:r>
      <w:r w:rsidR="001F6861" w:rsidRPr="006E5902">
        <w:rPr>
          <w:color w:val="auto"/>
        </w:rPr>
        <w:t xml:space="preserve"> </w:t>
      </w:r>
      <w:r w:rsidR="005B1AFA">
        <w:rPr>
          <w:color w:val="auto"/>
        </w:rPr>
        <w:t xml:space="preserve">na </w:t>
      </w:r>
      <w:r w:rsidR="001A77EC">
        <w:rPr>
          <w:color w:val="auto"/>
        </w:rPr>
        <w:t xml:space="preserve">zasięg </w:t>
      </w:r>
      <w:r w:rsidR="005B1AFA">
        <w:rPr>
          <w:color w:val="auto"/>
        </w:rPr>
        <w:t>6</w:t>
      </w:r>
      <w:r w:rsidR="003C4238">
        <w:rPr>
          <w:color w:val="auto"/>
        </w:rPr>
        <w:t>–</w:t>
      </w:r>
      <w:r w:rsidR="00620EE4" w:rsidRPr="006E5902">
        <w:rPr>
          <w:color w:val="auto"/>
        </w:rPr>
        <w:t>30 km</w:t>
      </w:r>
      <w:r w:rsidR="00CE6DF7" w:rsidRPr="006E5902">
        <w:rPr>
          <w:color w:val="auto"/>
        </w:rPr>
        <w:t xml:space="preserve"> </w:t>
      </w:r>
      <w:r w:rsidR="00346F07" w:rsidRPr="006E5902">
        <w:rPr>
          <w:color w:val="auto"/>
        </w:rPr>
        <w:t xml:space="preserve">wyłącznie </w:t>
      </w:r>
      <w:r w:rsidR="001F6861">
        <w:rPr>
          <w:color w:val="auto"/>
        </w:rPr>
        <w:t xml:space="preserve">dla </w:t>
      </w:r>
      <w:r w:rsidR="00346F07" w:rsidRPr="006E5902">
        <w:rPr>
          <w:color w:val="auto"/>
        </w:rPr>
        <w:t>turbin wiatrow</w:t>
      </w:r>
      <w:r w:rsidR="001A77EC">
        <w:rPr>
          <w:color w:val="auto"/>
        </w:rPr>
        <w:t>ych</w:t>
      </w:r>
      <w:r w:rsidR="006A7B9D" w:rsidRPr="006E5902">
        <w:rPr>
          <w:color w:val="auto"/>
        </w:rPr>
        <w:t>.</w:t>
      </w:r>
    </w:p>
    <w:p w14:paraId="637FF3F3" w14:textId="2C19FC5B" w:rsidR="005B1AFA" w:rsidRDefault="005B1AFA" w:rsidP="00014254">
      <w:pPr>
        <w:spacing w:before="120" w:after="0" w:line="360" w:lineRule="auto"/>
        <w:jc w:val="both"/>
        <w:rPr>
          <w:color w:val="auto"/>
        </w:rPr>
      </w:pPr>
      <w:r>
        <w:rPr>
          <w:color w:val="auto"/>
        </w:rPr>
        <w:t>Wyodrębnienie z ograniczeń</w:t>
      </w:r>
      <w:r w:rsidR="00593BEC">
        <w:rPr>
          <w:color w:val="auto"/>
        </w:rPr>
        <w:t xml:space="preserve"> zabudowy dla </w:t>
      </w:r>
      <w:r w:rsidR="00AD1715" w:rsidRPr="00AD1715">
        <w:rPr>
          <w:color w:val="auto"/>
        </w:rPr>
        <w:t>lotniczych urządzeń naziemnych rodzaj</w:t>
      </w:r>
      <w:r w:rsidR="00AD1715">
        <w:rPr>
          <w:color w:val="auto"/>
        </w:rPr>
        <w:t>u</w:t>
      </w:r>
      <w:r w:rsidR="00593BEC">
        <w:rPr>
          <w:color w:val="auto"/>
        </w:rPr>
        <w:t xml:space="preserve"> MET</w:t>
      </w:r>
      <w:r>
        <w:rPr>
          <w:color w:val="auto"/>
        </w:rPr>
        <w:t xml:space="preserve"> strefy od 6</w:t>
      </w:r>
      <w:r w:rsidR="00593BEC">
        <w:rPr>
          <w:color w:val="auto"/>
        </w:rPr>
        <w:t xml:space="preserve"> do </w:t>
      </w:r>
      <w:r>
        <w:rPr>
          <w:color w:val="auto"/>
        </w:rPr>
        <w:t xml:space="preserve">30 km jako </w:t>
      </w:r>
      <w:r w:rsidR="00593BEC">
        <w:rPr>
          <w:color w:val="auto"/>
        </w:rPr>
        <w:t>odnoszącej</w:t>
      </w:r>
      <w:r>
        <w:rPr>
          <w:color w:val="auto"/>
        </w:rPr>
        <w:t xml:space="preserve"> się tylko do turbin wiatrowych</w:t>
      </w:r>
      <w:r w:rsidR="00593BEC">
        <w:rPr>
          <w:color w:val="auto"/>
        </w:rPr>
        <w:t>,</w:t>
      </w:r>
      <w:r>
        <w:rPr>
          <w:color w:val="auto"/>
        </w:rPr>
        <w:t xml:space="preserve"> nie wpłynie negatywnie na działanie </w:t>
      </w:r>
      <w:r w:rsidR="00AD1715">
        <w:rPr>
          <w:color w:val="auto"/>
        </w:rPr>
        <w:t>tych urządzeń</w:t>
      </w:r>
      <w:r w:rsidR="00593BEC">
        <w:rPr>
          <w:color w:val="auto"/>
        </w:rPr>
        <w:t xml:space="preserve">, a tym samym nie wpłynie na obniżenie poziomu bezpieczeństwa </w:t>
      </w:r>
      <w:r w:rsidR="00593BEC">
        <w:rPr>
          <w:color w:val="auto"/>
        </w:rPr>
        <w:lastRenderedPageBreak/>
        <w:t>wykonywania operacji lotniczych</w:t>
      </w:r>
      <w:r>
        <w:rPr>
          <w:color w:val="auto"/>
        </w:rPr>
        <w:t>.</w:t>
      </w:r>
      <w:r w:rsidR="00593BEC">
        <w:rPr>
          <w:color w:val="auto"/>
        </w:rPr>
        <w:t xml:space="preserve"> Zmiana ta jest zgodna z obecnie obowiązującą praktyką uzgadniania inwestycji i zagospodarowania przestrzennego wokół radarów meteorologicznych.</w:t>
      </w:r>
    </w:p>
    <w:p w14:paraId="4318CB49" w14:textId="3F741615" w:rsidR="00BA73B0" w:rsidRDefault="006A7B9D" w:rsidP="00014254">
      <w:pPr>
        <w:spacing w:before="120" w:after="0" w:line="360" w:lineRule="auto"/>
        <w:jc w:val="both"/>
        <w:rPr>
          <w:color w:val="auto"/>
        </w:rPr>
      </w:pPr>
      <w:r w:rsidRPr="006E5902">
        <w:rPr>
          <w:color w:val="auto"/>
        </w:rPr>
        <w:t xml:space="preserve">Niniejsza zmiana powinna zmniejszyć </w:t>
      </w:r>
      <w:r w:rsidR="00442D2E">
        <w:t>liczb</w:t>
      </w:r>
      <w:r w:rsidR="00743A3E">
        <w:t>ę</w:t>
      </w:r>
      <w:r w:rsidR="00442D2E">
        <w:t xml:space="preserve"> postępowań </w:t>
      </w:r>
      <w:r w:rsidR="00504A57">
        <w:rPr>
          <w:color w:val="auto"/>
        </w:rPr>
        <w:t xml:space="preserve">o udzielenie </w:t>
      </w:r>
      <w:r w:rsidR="00504A57" w:rsidRPr="00504A57">
        <w:rPr>
          <w:color w:val="auto"/>
        </w:rPr>
        <w:t>zgody</w:t>
      </w:r>
      <w:r w:rsidR="00504A57">
        <w:rPr>
          <w:color w:val="auto"/>
        </w:rPr>
        <w:t xml:space="preserve"> Prezesa Urzędu Lotnictwa Cywilnego</w:t>
      </w:r>
      <w:r w:rsidR="00504A57" w:rsidRPr="00504A57">
        <w:rPr>
          <w:color w:val="auto"/>
        </w:rPr>
        <w:t xml:space="preserve"> na odstąpienie od wymogów dotyczących powierzchni ograniczających zabudowę</w:t>
      </w:r>
      <w:r w:rsidRPr="006E5902">
        <w:rPr>
          <w:color w:val="auto"/>
        </w:rPr>
        <w:t xml:space="preserve"> </w:t>
      </w:r>
      <w:r w:rsidR="001A77EC">
        <w:rPr>
          <w:color w:val="auto"/>
        </w:rPr>
        <w:t>wokół</w:t>
      </w:r>
      <w:r w:rsidR="00504A57">
        <w:rPr>
          <w:color w:val="auto"/>
        </w:rPr>
        <w:t xml:space="preserve"> lotniczych urządzeń </w:t>
      </w:r>
      <w:r w:rsidRPr="006E5902">
        <w:rPr>
          <w:color w:val="auto"/>
        </w:rPr>
        <w:t xml:space="preserve">naziemnych </w:t>
      </w:r>
      <w:r w:rsidR="001A77EC">
        <w:rPr>
          <w:color w:val="auto"/>
        </w:rPr>
        <w:t xml:space="preserve">rodzaju </w:t>
      </w:r>
      <w:r w:rsidRPr="006E5902">
        <w:rPr>
          <w:color w:val="auto"/>
        </w:rPr>
        <w:t>MET</w:t>
      </w:r>
      <w:r w:rsidR="001A77EC" w:rsidRPr="001A77EC">
        <w:t xml:space="preserve"> </w:t>
      </w:r>
      <w:r w:rsidR="001A77EC">
        <w:rPr>
          <w:color w:val="auto"/>
        </w:rPr>
        <w:t>przeznaczonych do obserwacji meteorologicznych</w:t>
      </w:r>
      <w:r w:rsidRPr="006E5902">
        <w:rPr>
          <w:color w:val="auto"/>
        </w:rPr>
        <w:t>.</w:t>
      </w:r>
    </w:p>
    <w:p w14:paraId="572E8455" w14:textId="7BF2FEDB" w:rsidR="008C17E9" w:rsidRDefault="008C17E9" w:rsidP="00014254">
      <w:pPr>
        <w:autoSpaceDE w:val="0"/>
        <w:autoSpaceDN w:val="0"/>
        <w:adjustRightInd w:val="0"/>
        <w:spacing w:before="120" w:after="0" w:line="360" w:lineRule="auto"/>
        <w:jc w:val="both"/>
        <w:rPr>
          <w:color w:val="0D0D0D" w:themeColor="text1" w:themeTint="F2"/>
        </w:rPr>
      </w:pPr>
      <w:r w:rsidRPr="006E5902">
        <w:rPr>
          <w:color w:val="auto"/>
        </w:rPr>
        <w:t>Mając na względzie wprowadzan</w:t>
      </w:r>
      <w:r w:rsidR="008F4952">
        <w:rPr>
          <w:color w:val="auto"/>
        </w:rPr>
        <w:t>e</w:t>
      </w:r>
      <w:r w:rsidRPr="006E5902">
        <w:rPr>
          <w:color w:val="auto"/>
        </w:rPr>
        <w:t xml:space="preserve"> zmian</w:t>
      </w:r>
      <w:r w:rsidR="008F4952">
        <w:rPr>
          <w:color w:val="auto"/>
        </w:rPr>
        <w:t>y</w:t>
      </w:r>
      <w:r w:rsidRPr="00346F07">
        <w:rPr>
          <w:color w:val="0D0D0D" w:themeColor="text1" w:themeTint="F2"/>
        </w:rPr>
        <w:t>, nie przewiduje się konieczności zamieszczenia w</w:t>
      </w:r>
      <w:r w:rsidR="003C4238">
        <w:rPr>
          <w:color w:val="0D0D0D" w:themeColor="text1" w:themeTint="F2"/>
        </w:rPr>
        <w:t> </w:t>
      </w:r>
      <w:r w:rsidRPr="00346F07">
        <w:rPr>
          <w:color w:val="0D0D0D" w:themeColor="text1" w:themeTint="F2"/>
        </w:rPr>
        <w:t>projektowanym rozporządzeniu przepisów przejściowych regulujących wpływ nowego rozporządzenia na dotychczasowy sposób ochrony lotniczych urządzeń naziemnych.</w:t>
      </w:r>
    </w:p>
    <w:p w14:paraId="1D8289A3" w14:textId="3428028F" w:rsidR="00A51EAA" w:rsidRPr="0014242B" w:rsidRDefault="00A51EAA" w:rsidP="00014254">
      <w:pPr>
        <w:spacing w:before="120" w:after="0" w:line="360" w:lineRule="auto"/>
        <w:jc w:val="both"/>
      </w:pPr>
      <w:r w:rsidRPr="0014242B">
        <w:t xml:space="preserve">Zgodnie z </w:t>
      </w:r>
      <w:r w:rsidRPr="00A51EAA">
        <w:t>§ 2</w:t>
      </w:r>
      <w:r w:rsidRPr="0014242B">
        <w:t xml:space="preserve"> rozporządzenie zmieniające wejdzie w życie po upływie 14 dni od dnia ogłoszenia, stosownie do art. 4 ust. 1 ustawy z dnia 20 lipca 2000 r. o ogłaszaniu aktów normatywnych </w:t>
      </w:r>
      <w:r>
        <w:t>i</w:t>
      </w:r>
      <w:r w:rsidRPr="0014242B">
        <w:t xml:space="preserve"> niektórych innych aktów prawnych (Dz. U. z 2019 r. poz. 1461).</w:t>
      </w:r>
    </w:p>
    <w:p w14:paraId="280D0972" w14:textId="5BA95980" w:rsidR="00A51EAA" w:rsidRDefault="00A51EAA" w:rsidP="00014254">
      <w:pPr>
        <w:spacing w:before="120" w:after="0" w:line="360" w:lineRule="auto"/>
        <w:jc w:val="both"/>
      </w:pPr>
      <w:r w:rsidRPr="0014242B">
        <w:t xml:space="preserve">Nie ma możliwości osiągnięcia celu </w:t>
      </w:r>
      <w:r w:rsidR="003C4238">
        <w:t xml:space="preserve">projektu </w:t>
      </w:r>
      <w:r w:rsidRPr="0014242B">
        <w:t xml:space="preserve">za pomocą innych środków niż zmiana </w:t>
      </w:r>
      <w:r>
        <w:t xml:space="preserve">obowiązującego </w:t>
      </w:r>
      <w:r w:rsidRPr="0014242B">
        <w:t>rozporz</w:t>
      </w:r>
      <w:r>
        <w:t>ądzenia.</w:t>
      </w:r>
    </w:p>
    <w:p w14:paraId="0ADB5E18" w14:textId="77777777" w:rsidR="00AA23A8" w:rsidRPr="0017443A" w:rsidRDefault="00AA23A8" w:rsidP="00534FAF">
      <w:pPr>
        <w:spacing w:after="0" w:line="360" w:lineRule="auto"/>
        <w:jc w:val="both"/>
      </w:pPr>
    </w:p>
    <w:p w14:paraId="66A5642F" w14:textId="70A4BDCA" w:rsidR="008C17E9" w:rsidRPr="009A188F" w:rsidRDefault="008C17E9" w:rsidP="00534FAF">
      <w:pPr>
        <w:pStyle w:val="Nagwek2"/>
        <w:spacing w:before="0" w:after="0" w:line="360" w:lineRule="auto"/>
      </w:pPr>
      <w:r>
        <w:t>I</w:t>
      </w:r>
      <w:r w:rsidR="00F112B1">
        <w:t>V. </w:t>
      </w:r>
      <w:r w:rsidRPr="009A188F">
        <w:t>Przewidywane skutki finansowe i prawne wejścia w życie rozporządzenia</w:t>
      </w:r>
    </w:p>
    <w:p w14:paraId="72014A85" w14:textId="2C1370F9" w:rsidR="008C17E9" w:rsidRPr="009A188F" w:rsidRDefault="008C17E9" w:rsidP="00014254">
      <w:pPr>
        <w:spacing w:before="120" w:after="0" w:line="360" w:lineRule="auto"/>
        <w:jc w:val="both"/>
        <w:rPr>
          <w:bCs/>
        </w:rPr>
      </w:pPr>
      <w:r w:rsidRPr="009A188F">
        <w:rPr>
          <w:bCs/>
        </w:rPr>
        <w:t>Wejście w życie rozporządzenia nie powoduje dodatkowych obciążeń finansowych dla zarządzających lotniskami, ani dla innych podmiotów.</w:t>
      </w:r>
    </w:p>
    <w:p w14:paraId="3694BC4A" w14:textId="7D1E3BF0" w:rsidR="008C17E9" w:rsidRDefault="008C17E9" w:rsidP="00014254">
      <w:pPr>
        <w:spacing w:before="120" w:after="0" w:line="360" w:lineRule="auto"/>
        <w:jc w:val="both"/>
        <w:rPr>
          <w:bCs/>
        </w:rPr>
      </w:pPr>
      <w:r w:rsidRPr="009A188F">
        <w:rPr>
          <w:bCs/>
        </w:rPr>
        <w:t xml:space="preserve">Rozwiązania zawarte w projekcie rozporządzenia nie będą miały wpływu na działalność </w:t>
      </w:r>
      <w:proofErr w:type="spellStart"/>
      <w:r w:rsidRPr="009A188F">
        <w:rPr>
          <w:bCs/>
        </w:rPr>
        <w:t>mikroprzedsiębiorców</w:t>
      </w:r>
      <w:proofErr w:type="spellEnd"/>
      <w:r w:rsidRPr="009A188F">
        <w:rPr>
          <w:bCs/>
        </w:rPr>
        <w:t>, małych i średnich przedsiębiorców.</w:t>
      </w:r>
    </w:p>
    <w:p w14:paraId="0BEE5BAE" w14:textId="77777777" w:rsidR="00AA23A8" w:rsidRPr="009A188F" w:rsidRDefault="00AA23A8" w:rsidP="00014254">
      <w:pPr>
        <w:spacing w:after="0" w:line="360" w:lineRule="auto"/>
        <w:jc w:val="both"/>
        <w:rPr>
          <w:bCs/>
        </w:rPr>
      </w:pPr>
    </w:p>
    <w:p w14:paraId="030832FC" w14:textId="41E2612D" w:rsidR="008C17E9" w:rsidRPr="009A188F" w:rsidRDefault="008C17E9" w:rsidP="00014254">
      <w:pPr>
        <w:pStyle w:val="Nagwek2"/>
        <w:tabs>
          <w:tab w:val="clear" w:pos="709"/>
          <w:tab w:val="left" w:pos="0"/>
        </w:tabs>
        <w:spacing w:before="0" w:after="0" w:line="360" w:lineRule="auto"/>
        <w:ind w:left="0" w:firstLine="0"/>
      </w:pPr>
      <w:r w:rsidRPr="009A188F">
        <w:t>V.</w:t>
      </w:r>
      <w:r w:rsidR="00F112B1">
        <w:t> </w:t>
      </w:r>
      <w:r w:rsidRPr="009A188F">
        <w:t>Przedstawienie projektu właściwym organom i instytucjom Unii Europejskiej, w</w:t>
      </w:r>
      <w:r w:rsidR="003C4238">
        <w:t xml:space="preserve"> </w:t>
      </w:r>
      <w:r w:rsidRPr="009A188F">
        <w:t>tym Europejskiemu Bankowi Centralnemu, w</w:t>
      </w:r>
      <w:r w:rsidR="003C4238">
        <w:t xml:space="preserve"> </w:t>
      </w:r>
      <w:r w:rsidRPr="009A188F">
        <w:t>celu uzyskania opinii, dokonania powiadomienia, konsultacji albo uzgodnienia, jeżeli obowiązek taki wynika z</w:t>
      </w:r>
      <w:r w:rsidR="003C4238">
        <w:t xml:space="preserve"> </w:t>
      </w:r>
      <w:r w:rsidRPr="009A188F">
        <w:t>odrębnych przepisów</w:t>
      </w:r>
    </w:p>
    <w:p w14:paraId="6C98A7B0" w14:textId="24B6D437" w:rsidR="008C17E9" w:rsidRDefault="008C17E9" w:rsidP="00014254">
      <w:pPr>
        <w:spacing w:before="120" w:after="0" w:line="360" w:lineRule="auto"/>
        <w:jc w:val="both"/>
        <w:rPr>
          <w:bCs/>
        </w:rPr>
      </w:pPr>
      <w:r w:rsidRPr="009A188F">
        <w:rPr>
          <w:bCs/>
        </w:rPr>
        <w:t xml:space="preserve">Projekt rozporządzenia nie wymaga przedstawienia właściwym organom </w:t>
      </w:r>
      <w:r w:rsidR="003C4238">
        <w:rPr>
          <w:bCs/>
        </w:rPr>
        <w:t xml:space="preserve">i instytucjom </w:t>
      </w:r>
      <w:r w:rsidRPr="009A188F">
        <w:rPr>
          <w:bCs/>
        </w:rPr>
        <w:t xml:space="preserve">Unii Europejskiej, w tym Europejskiemu Bankowi Centralnemu, w celu uzyskania opinii, dokonania </w:t>
      </w:r>
      <w:r w:rsidR="003C4238">
        <w:rPr>
          <w:bCs/>
        </w:rPr>
        <w:t xml:space="preserve">powiadomienia, </w:t>
      </w:r>
      <w:r w:rsidRPr="009A188F">
        <w:rPr>
          <w:bCs/>
        </w:rPr>
        <w:t>konsultacji albo uzgodnienia.</w:t>
      </w:r>
    </w:p>
    <w:p w14:paraId="18EF5BD1" w14:textId="77777777" w:rsidR="00AA23A8" w:rsidRPr="009A188F" w:rsidRDefault="00AA23A8" w:rsidP="00014254">
      <w:pPr>
        <w:spacing w:after="0" w:line="360" w:lineRule="auto"/>
        <w:jc w:val="both"/>
        <w:rPr>
          <w:bCs/>
        </w:rPr>
      </w:pPr>
    </w:p>
    <w:p w14:paraId="37660958" w14:textId="6B9BD064" w:rsidR="008C17E9" w:rsidRPr="009A188F" w:rsidRDefault="00F112B1" w:rsidP="00014254">
      <w:pPr>
        <w:pStyle w:val="Nagwek2"/>
        <w:spacing w:before="0" w:after="0" w:line="360" w:lineRule="auto"/>
      </w:pPr>
      <w:r>
        <w:t>VI. </w:t>
      </w:r>
      <w:r w:rsidR="008C17E9" w:rsidRPr="009A188F">
        <w:t>Udostępnienie w Biuletynie Informacji Publicznej</w:t>
      </w:r>
    </w:p>
    <w:p w14:paraId="60814FDB" w14:textId="79DFAC3D" w:rsidR="008C17E9" w:rsidRDefault="008C17E9" w:rsidP="00014254">
      <w:pPr>
        <w:spacing w:before="120" w:after="0" w:line="360" w:lineRule="auto"/>
        <w:jc w:val="both"/>
        <w:rPr>
          <w:bCs/>
        </w:rPr>
      </w:pPr>
      <w:r w:rsidRPr="009A188F">
        <w:rPr>
          <w:bCs/>
        </w:rPr>
        <w:lastRenderedPageBreak/>
        <w:t xml:space="preserve">Zgodnie </w:t>
      </w:r>
      <w:r w:rsidRPr="001A77EC">
        <w:rPr>
          <w:bCs/>
        </w:rPr>
        <w:t xml:space="preserve">z </w:t>
      </w:r>
      <w:r w:rsidRPr="007D2FC2">
        <w:rPr>
          <w:bCs/>
        </w:rPr>
        <w:t>§</w:t>
      </w:r>
      <w:r w:rsidRPr="001A77EC">
        <w:rPr>
          <w:bCs/>
        </w:rPr>
        <w:t xml:space="preserve"> 52</w:t>
      </w:r>
      <w:r w:rsidRPr="009A188F">
        <w:rPr>
          <w:bCs/>
        </w:rPr>
        <w:t xml:space="preserve"> uchwały nr 190 Rady Ministrów z dnia 29 października 2013 r. – Regulamin pracy Rady Ministrów (M.P. z 20</w:t>
      </w:r>
      <w:r w:rsidR="00A51EAA">
        <w:rPr>
          <w:bCs/>
        </w:rPr>
        <w:t>22</w:t>
      </w:r>
      <w:r w:rsidRPr="009A188F">
        <w:rPr>
          <w:bCs/>
        </w:rPr>
        <w:t xml:space="preserve"> r. poz.</w:t>
      </w:r>
      <w:r w:rsidR="003C4238">
        <w:rPr>
          <w:bCs/>
        </w:rPr>
        <w:t xml:space="preserve"> </w:t>
      </w:r>
      <w:r w:rsidR="00A51EAA">
        <w:rPr>
          <w:bCs/>
        </w:rPr>
        <w:t>348</w:t>
      </w:r>
      <w:r w:rsidRPr="009A188F">
        <w:rPr>
          <w:bCs/>
        </w:rPr>
        <w:t xml:space="preserve">) projekt rozporządzenia </w:t>
      </w:r>
      <w:r w:rsidR="003C4238" w:rsidRPr="009A188F">
        <w:rPr>
          <w:bCs/>
        </w:rPr>
        <w:t>zosta</w:t>
      </w:r>
      <w:r w:rsidR="003C4238">
        <w:rPr>
          <w:bCs/>
        </w:rPr>
        <w:t>ł</w:t>
      </w:r>
      <w:r w:rsidR="003C4238" w:rsidRPr="009A188F">
        <w:rPr>
          <w:bCs/>
        </w:rPr>
        <w:t xml:space="preserve"> </w:t>
      </w:r>
      <w:r w:rsidRPr="009A188F">
        <w:rPr>
          <w:bCs/>
        </w:rPr>
        <w:t>udostępniony w</w:t>
      </w:r>
      <w:r w:rsidR="003C4238">
        <w:rPr>
          <w:bCs/>
        </w:rPr>
        <w:t> </w:t>
      </w:r>
      <w:r w:rsidRPr="009A188F">
        <w:rPr>
          <w:bCs/>
        </w:rPr>
        <w:t xml:space="preserve">Biuletynie Informacji Publicznej </w:t>
      </w:r>
      <w:r w:rsidR="003C4238">
        <w:rPr>
          <w:bCs/>
        </w:rPr>
        <w:t xml:space="preserve">na stronie podmiotowej </w:t>
      </w:r>
      <w:r w:rsidRPr="009A188F">
        <w:rPr>
          <w:bCs/>
        </w:rPr>
        <w:t>Rządowego Centrum Legislacji w</w:t>
      </w:r>
      <w:r w:rsidR="003C4238">
        <w:rPr>
          <w:bCs/>
        </w:rPr>
        <w:t> </w:t>
      </w:r>
      <w:r w:rsidRPr="009A188F">
        <w:rPr>
          <w:bCs/>
        </w:rPr>
        <w:t xml:space="preserve">serwisie Rządowy Proces Legislacyjny z chwilą </w:t>
      </w:r>
      <w:r w:rsidR="00642857">
        <w:rPr>
          <w:bCs/>
        </w:rPr>
        <w:t>skierowania</w:t>
      </w:r>
      <w:r w:rsidR="00642857" w:rsidRPr="009A188F">
        <w:rPr>
          <w:bCs/>
        </w:rPr>
        <w:t xml:space="preserve"> </w:t>
      </w:r>
      <w:r w:rsidRPr="009A188F">
        <w:rPr>
          <w:bCs/>
        </w:rPr>
        <w:t>do uzgodnień i konsultacji publicznych.</w:t>
      </w:r>
    </w:p>
    <w:p w14:paraId="103D6D7A" w14:textId="77777777" w:rsidR="00AA23A8" w:rsidRPr="009A188F" w:rsidRDefault="00AA23A8" w:rsidP="00014254">
      <w:pPr>
        <w:spacing w:after="0" w:line="360" w:lineRule="auto"/>
        <w:jc w:val="both"/>
        <w:rPr>
          <w:bCs/>
        </w:rPr>
      </w:pPr>
    </w:p>
    <w:p w14:paraId="5BE16B0F" w14:textId="1689B20A" w:rsidR="008C17E9" w:rsidRPr="009A188F" w:rsidRDefault="008C17E9" w:rsidP="00014254">
      <w:pPr>
        <w:pStyle w:val="Nagwek2"/>
        <w:tabs>
          <w:tab w:val="clear" w:pos="709"/>
          <w:tab w:val="left" w:pos="0"/>
        </w:tabs>
        <w:spacing w:before="0" w:after="0" w:line="360" w:lineRule="auto"/>
        <w:ind w:left="0" w:firstLine="0"/>
      </w:pPr>
      <w:r w:rsidRPr="009A188F">
        <w:t>VII.</w:t>
      </w:r>
      <w:r w:rsidR="00F112B1">
        <w:t> </w:t>
      </w:r>
      <w:r w:rsidRPr="009A188F">
        <w:t>Ocena organu wnioskującego, czy projekt podlega notyfikacji zgodnie z</w:t>
      </w:r>
      <w:r w:rsidR="003C4238">
        <w:t xml:space="preserve"> </w:t>
      </w:r>
      <w:r w:rsidRPr="009A188F">
        <w:t>przepisami dotyczącymi funkcjonowania krajowego systemu notyfikacji norm i aktów prawnych</w:t>
      </w:r>
    </w:p>
    <w:p w14:paraId="71D50ADE" w14:textId="3B7FD551" w:rsidR="008C17E9" w:rsidRDefault="008C17E9" w:rsidP="00014254">
      <w:pPr>
        <w:spacing w:before="120" w:after="0" w:line="360" w:lineRule="auto"/>
        <w:jc w:val="both"/>
        <w:rPr>
          <w:bCs/>
        </w:rPr>
      </w:pPr>
      <w:r w:rsidRPr="009A188F">
        <w:rPr>
          <w:bCs/>
        </w:rPr>
        <w:t>Regulacje zawarte w projektowanym rozporządzeniu nie stanowią przepisów technicznych w rozumieniu rozporządzenia Rady Ministrów z dnia 23 grudnia 2002 r. w sprawie sposobu funkcjonowania krajowego systemu notyfikacji norm i aktów prawnych (Dz. U poz. 2039</w:t>
      </w:r>
      <w:r>
        <w:rPr>
          <w:bCs/>
        </w:rPr>
        <w:t>, z</w:t>
      </w:r>
      <w:r w:rsidR="008974B9">
        <w:rPr>
          <w:bCs/>
        </w:rPr>
        <w:t> 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9A188F">
        <w:rPr>
          <w:bCs/>
        </w:rPr>
        <w:t xml:space="preserve">), zatem </w:t>
      </w:r>
      <w:r w:rsidR="003C4238">
        <w:rPr>
          <w:bCs/>
        </w:rPr>
        <w:t xml:space="preserve">projekt </w:t>
      </w:r>
      <w:r w:rsidRPr="009A188F">
        <w:rPr>
          <w:bCs/>
        </w:rPr>
        <w:t>nie podlega notyfikacji.</w:t>
      </w:r>
    </w:p>
    <w:p w14:paraId="5C6C0113" w14:textId="77777777" w:rsidR="00AA23A8" w:rsidRPr="009A188F" w:rsidRDefault="00AA23A8" w:rsidP="00014254">
      <w:pPr>
        <w:spacing w:after="0" w:line="360" w:lineRule="auto"/>
        <w:jc w:val="both"/>
        <w:rPr>
          <w:bCs/>
        </w:rPr>
      </w:pPr>
    </w:p>
    <w:p w14:paraId="150EE07C" w14:textId="6105D6C1" w:rsidR="008C17E9" w:rsidRPr="009A188F" w:rsidRDefault="00BF17C8" w:rsidP="00014254">
      <w:pPr>
        <w:pStyle w:val="Nagwek2"/>
        <w:tabs>
          <w:tab w:val="clear" w:pos="709"/>
          <w:tab w:val="left" w:pos="0"/>
        </w:tabs>
        <w:spacing w:before="0" w:after="0" w:line="360" w:lineRule="auto"/>
        <w:ind w:left="0" w:firstLine="0"/>
      </w:pPr>
      <w:r>
        <w:t>VIII</w:t>
      </w:r>
      <w:r w:rsidR="008C17E9" w:rsidRPr="009A188F">
        <w:t>.</w:t>
      </w:r>
      <w:r w:rsidR="00F112B1">
        <w:t> </w:t>
      </w:r>
      <w:r w:rsidR="008C17E9" w:rsidRPr="009A188F">
        <w:t>Oświadczenie organu wnioskującego co do zgodności projektu z prawem Unii Europejskiej</w:t>
      </w:r>
    </w:p>
    <w:p w14:paraId="20AF0757" w14:textId="72B416AF" w:rsidR="00E1050B" w:rsidRPr="00346F07" w:rsidRDefault="008C17E9" w:rsidP="00014254">
      <w:pPr>
        <w:spacing w:before="120" w:after="0" w:line="360" w:lineRule="auto"/>
        <w:jc w:val="both"/>
        <w:rPr>
          <w:color w:val="000000" w:themeColor="text1"/>
        </w:rPr>
      </w:pPr>
      <w:r>
        <w:rPr>
          <w:bCs/>
        </w:rPr>
        <w:t>Projekt jest zgodny z prawem Unii Europejskiej.</w:t>
      </w:r>
    </w:p>
    <w:sectPr w:rsidR="00E1050B" w:rsidRPr="00346F07" w:rsidSect="007A7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B138" w14:textId="77777777" w:rsidR="00412CFF" w:rsidRDefault="00412CFF" w:rsidP="00984339">
      <w:pPr>
        <w:spacing w:after="0" w:line="240" w:lineRule="auto"/>
      </w:pPr>
      <w:r>
        <w:separator/>
      </w:r>
    </w:p>
  </w:endnote>
  <w:endnote w:type="continuationSeparator" w:id="0">
    <w:p w14:paraId="137144EE" w14:textId="77777777" w:rsidR="00412CFF" w:rsidRDefault="00412CFF" w:rsidP="0098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AD88" w14:textId="77777777" w:rsidR="00412CFF" w:rsidRDefault="00412CFF" w:rsidP="00984339">
      <w:pPr>
        <w:spacing w:after="0" w:line="240" w:lineRule="auto"/>
      </w:pPr>
      <w:r>
        <w:separator/>
      </w:r>
    </w:p>
  </w:footnote>
  <w:footnote w:type="continuationSeparator" w:id="0">
    <w:p w14:paraId="3A1EB864" w14:textId="77777777" w:rsidR="00412CFF" w:rsidRDefault="00412CFF" w:rsidP="00984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5B9"/>
    <w:multiLevelType w:val="hybridMultilevel"/>
    <w:tmpl w:val="B62075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D0008"/>
    <w:multiLevelType w:val="hybridMultilevel"/>
    <w:tmpl w:val="812A96E4"/>
    <w:lvl w:ilvl="0" w:tplc="4F9A180A">
      <w:start w:val="1"/>
      <w:numFmt w:val="lowerLetter"/>
      <w:lvlText w:val="%1)"/>
      <w:lvlJc w:val="left"/>
      <w:pPr>
        <w:ind w:left="644" w:hanging="360"/>
      </w:pPr>
      <w:rPr>
        <w:rFonts w:ascii="Times" w:eastAsia="Times New Roman" w:hAnsi="Times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91"/>
    <w:rsid w:val="00002FD8"/>
    <w:rsid w:val="000034CF"/>
    <w:rsid w:val="00004C8E"/>
    <w:rsid w:val="00014254"/>
    <w:rsid w:val="0003628A"/>
    <w:rsid w:val="0005647E"/>
    <w:rsid w:val="00077B98"/>
    <w:rsid w:val="00087A7D"/>
    <w:rsid w:val="000A6FBC"/>
    <w:rsid w:val="000D6C00"/>
    <w:rsid w:val="000E5A33"/>
    <w:rsid w:val="001259B8"/>
    <w:rsid w:val="00126182"/>
    <w:rsid w:val="001361F0"/>
    <w:rsid w:val="0013760C"/>
    <w:rsid w:val="001377E2"/>
    <w:rsid w:val="00171DEF"/>
    <w:rsid w:val="0017443A"/>
    <w:rsid w:val="00194420"/>
    <w:rsid w:val="001A5065"/>
    <w:rsid w:val="001A67E8"/>
    <w:rsid w:val="001A77EC"/>
    <w:rsid w:val="001B2FFD"/>
    <w:rsid w:val="001B37A6"/>
    <w:rsid w:val="001F6861"/>
    <w:rsid w:val="001F7C12"/>
    <w:rsid w:val="002136F3"/>
    <w:rsid w:val="00224B18"/>
    <w:rsid w:val="002263EE"/>
    <w:rsid w:val="00227941"/>
    <w:rsid w:val="002324A5"/>
    <w:rsid w:val="00245435"/>
    <w:rsid w:val="002460F7"/>
    <w:rsid w:val="002620D1"/>
    <w:rsid w:val="00276493"/>
    <w:rsid w:val="00280EF5"/>
    <w:rsid w:val="0029478B"/>
    <w:rsid w:val="002A04F8"/>
    <w:rsid w:val="002A548F"/>
    <w:rsid w:val="002C117F"/>
    <w:rsid w:val="002D7DBA"/>
    <w:rsid w:val="002F3297"/>
    <w:rsid w:val="00310CE5"/>
    <w:rsid w:val="00311324"/>
    <w:rsid w:val="00316924"/>
    <w:rsid w:val="00327C4F"/>
    <w:rsid w:val="0033419C"/>
    <w:rsid w:val="00340579"/>
    <w:rsid w:val="00341997"/>
    <w:rsid w:val="00346F07"/>
    <w:rsid w:val="00350DF1"/>
    <w:rsid w:val="00363927"/>
    <w:rsid w:val="0036554F"/>
    <w:rsid w:val="003676A8"/>
    <w:rsid w:val="0038005F"/>
    <w:rsid w:val="00382DFE"/>
    <w:rsid w:val="00391C30"/>
    <w:rsid w:val="003A23B2"/>
    <w:rsid w:val="003A460A"/>
    <w:rsid w:val="003C4238"/>
    <w:rsid w:val="003D54A7"/>
    <w:rsid w:val="00412CFF"/>
    <w:rsid w:val="00415537"/>
    <w:rsid w:val="004168C5"/>
    <w:rsid w:val="00442D2E"/>
    <w:rsid w:val="00446CF8"/>
    <w:rsid w:val="0045603A"/>
    <w:rsid w:val="0048175B"/>
    <w:rsid w:val="004872B3"/>
    <w:rsid w:val="00495211"/>
    <w:rsid w:val="004A09B8"/>
    <w:rsid w:val="004D41D1"/>
    <w:rsid w:val="004D7ACB"/>
    <w:rsid w:val="004E18BA"/>
    <w:rsid w:val="004E2BEC"/>
    <w:rsid w:val="004E63B5"/>
    <w:rsid w:val="004F4100"/>
    <w:rsid w:val="00504A57"/>
    <w:rsid w:val="00506D3C"/>
    <w:rsid w:val="00514728"/>
    <w:rsid w:val="00517E1C"/>
    <w:rsid w:val="00531C7A"/>
    <w:rsid w:val="005322BF"/>
    <w:rsid w:val="00534FAF"/>
    <w:rsid w:val="005363F1"/>
    <w:rsid w:val="0055645B"/>
    <w:rsid w:val="00560277"/>
    <w:rsid w:val="00576CF6"/>
    <w:rsid w:val="00593BEC"/>
    <w:rsid w:val="00594E20"/>
    <w:rsid w:val="005A44A9"/>
    <w:rsid w:val="005B0006"/>
    <w:rsid w:val="005B1AFA"/>
    <w:rsid w:val="005B5308"/>
    <w:rsid w:val="005B76F2"/>
    <w:rsid w:val="005D5282"/>
    <w:rsid w:val="005E1572"/>
    <w:rsid w:val="005E492F"/>
    <w:rsid w:val="005F2126"/>
    <w:rsid w:val="00612593"/>
    <w:rsid w:val="00620EE4"/>
    <w:rsid w:val="006348C2"/>
    <w:rsid w:val="00635D53"/>
    <w:rsid w:val="00642857"/>
    <w:rsid w:val="0064521F"/>
    <w:rsid w:val="006735D8"/>
    <w:rsid w:val="00680D36"/>
    <w:rsid w:val="00685363"/>
    <w:rsid w:val="006A7B9D"/>
    <w:rsid w:val="006B56D4"/>
    <w:rsid w:val="006B77A7"/>
    <w:rsid w:val="006D4F67"/>
    <w:rsid w:val="006E5902"/>
    <w:rsid w:val="00713E21"/>
    <w:rsid w:val="007427CE"/>
    <w:rsid w:val="00743A3E"/>
    <w:rsid w:val="007472C1"/>
    <w:rsid w:val="00751932"/>
    <w:rsid w:val="0076443B"/>
    <w:rsid w:val="00774EF4"/>
    <w:rsid w:val="00795A32"/>
    <w:rsid w:val="007A7A72"/>
    <w:rsid w:val="007B2261"/>
    <w:rsid w:val="007C58FF"/>
    <w:rsid w:val="007D2FC2"/>
    <w:rsid w:val="007E5939"/>
    <w:rsid w:val="007F4E9E"/>
    <w:rsid w:val="00813056"/>
    <w:rsid w:val="008158B2"/>
    <w:rsid w:val="00817F91"/>
    <w:rsid w:val="008346E1"/>
    <w:rsid w:val="00841576"/>
    <w:rsid w:val="0084202E"/>
    <w:rsid w:val="008451E5"/>
    <w:rsid w:val="00861E60"/>
    <w:rsid w:val="00885108"/>
    <w:rsid w:val="008871CC"/>
    <w:rsid w:val="00890E5A"/>
    <w:rsid w:val="00894B3A"/>
    <w:rsid w:val="008959EC"/>
    <w:rsid w:val="008974B9"/>
    <w:rsid w:val="008A7388"/>
    <w:rsid w:val="008B1B83"/>
    <w:rsid w:val="008C17E9"/>
    <w:rsid w:val="008C5AD5"/>
    <w:rsid w:val="008D51E2"/>
    <w:rsid w:val="008E5870"/>
    <w:rsid w:val="008F4952"/>
    <w:rsid w:val="009138B9"/>
    <w:rsid w:val="00984339"/>
    <w:rsid w:val="0098521F"/>
    <w:rsid w:val="00994943"/>
    <w:rsid w:val="009C7C76"/>
    <w:rsid w:val="00A118C1"/>
    <w:rsid w:val="00A43A3D"/>
    <w:rsid w:val="00A51EAA"/>
    <w:rsid w:val="00A55CF5"/>
    <w:rsid w:val="00A5735B"/>
    <w:rsid w:val="00A71239"/>
    <w:rsid w:val="00A90573"/>
    <w:rsid w:val="00A90DD3"/>
    <w:rsid w:val="00AA23A8"/>
    <w:rsid w:val="00AD1715"/>
    <w:rsid w:val="00AD48D4"/>
    <w:rsid w:val="00AE03EB"/>
    <w:rsid w:val="00AE1C1C"/>
    <w:rsid w:val="00AE5958"/>
    <w:rsid w:val="00AF169E"/>
    <w:rsid w:val="00B01905"/>
    <w:rsid w:val="00B0377A"/>
    <w:rsid w:val="00B109F4"/>
    <w:rsid w:val="00B12C5F"/>
    <w:rsid w:val="00B32C41"/>
    <w:rsid w:val="00B37757"/>
    <w:rsid w:val="00B521F6"/>
    <w:rsid w:val="00B52899"/>
    <w:rsid w:val="00B71E66"/>
    <w:rsid w:val="00B873F2"/>
    <w:rsid w:val="00BA032F"/>
    <w:rsid w:val="00BA73B0"/>
    <w:rsid w:val="00BB4838"/>
    <w:rsid w:val="00BB5B1A"/>
    <w:rsid w:val="00BC0140"/>
    <w:rsid w:val="00BC5F7A"/>
    <w:rsid w:val="00BD1055"/>
    <w:rsid w:val="00BD2262"/>
    <w:rsid w:val="00BD3D63"/>
    <w:rsid w:val="00BF17C8"/>
    <w:rsid w:val="00BF69CD"/>
    <w:rsid w:val="00BF6DB6"/>
    <w:rsid w:val="00C31BD3"/>
    <w:rsid w:val="00C352DC"/>
    <w:rsid w:val="00C56279"/>
    <w:rsid w:val="00C7427F"/>
    <w:rsid w:val="00C8502C"/>
    <w:rsid w:val="00C878C3"/>
    <w:rsid w:val="00C97745"/>
    <w:rsid w:val="00CB7186"/>
    <w:rsid w:val="00CD1BBF"/>
    <w:rsid w:val="00CE2E5C"/>
    <w:rsid w:val="00CE6DF7"/>
    <w:rsid w:val="00CF08D1"/>
    <w:rsid w:val="00D10807"/>
    <w:rsid w:val="00D16DDF"/>
    <w:rsid w:val="00D32312"/>
    <w:rsid w:val="00D345DD"/>
    <w:rsid w:val="00D60CE5"/>
    <w:rsid w:val="00D61DAA"/>
    <w:rsid w:val="00D84E3B"/>
    <w:rsid w:val="00D87B61"/>
    <w:rsid w:val="00D91486"/>
    <w:rsid w:val="00DA0807"/>
    <w:rsid w:val="00DC0B29"/>
    <w:rsid w:val="00DD024E"/>
    <w:rsid w:val="00DD566A"/>
    <w:rsid w:val="00DE21C9"/>
    <w:rsid w:val="00DF6A70"/>
    <w:rsid w:val="00E01FDF"/>
    <w:rsid w:val="00E1050B"/>
    <w:rsid w:val="00E2380F"/>
    <w:rsid w:val="00E2550C"/>
    <w:rsid w:val="00E26FD0"/>
    <w:rsid w:val="00E36275"/>
    <w:rsid w:val="00E52C9C"/>
    <w:rsid w:val="00E770E0"/>
    <w:rsid w:val="00E83B44"/>
    <w:rsid w:val="00E93BB3"/>
    <w:rsid w:val="00E95A8D"/>
    <w:rsid w:val="00EC459A"/>
    <w:rsid w:val="00EC5866"/>
    <w:rsid w:val="00ED6002"/>
    <w:rsid w:val="00F06BB1"/>
    <w:rsid w:val="00F112B1"/>
    <w:rsid w:val="00F44026"/>
    <w:rsid w:val="00F65F5C"/>
    <w:rsid w:val="00F700A5"/>
    <w:rsid w:val="00F7211F"/>
    <w:rsid w:val="00F72424"/>
    <w:rsid w:val="00F84BC1"/>
    <w:rsid w:val="00F94195"/>
    <w:rsid w:val="00FB23C7"/>
    <w:rsid w:val="00FF4F33"/>
    <w:rsid w:val="00FF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50EF"/>
  <w15:docId w15:val="{7AFF3BB6-7D25-43F6-9C12-0487E6A0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7F91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7E9"/>
    <w:pPr>
      <w:tabs>
        <w:tab w:val="left" w:pos="709"/>
      </w:tabs>
      <w:spacing w:before="360" w:after="120" w:line="288" w:lineRule="auto"/>
      <w:ind w:left="709" w:hanging="709"/>
      <w:jc w:val="both"/>
      <w:outlineLvl w:val="1"/>
    </w:pPr>
    <w:rPr>
      <w:rFonts w:eastAsiaTheme="minorHAnsi" w:cstheme="minorBidi"/>
      <w:b/>
      <w:bCs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7F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7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0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0E0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0E0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0E0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3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339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339"/>
    <w:rPr>
      <w:vertAlign w:val="superscript"/>
    </w:rPr>
  </w:style>
  <w:style w:type="paragraph" w:styleId="Poprawka">
    <w:name w:val="Revision"/>
    <w:hidden/>
    <w:uiPriority w:val="99"/>
    <w:semiHidden/>
    <w:rsid w:val="0075193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C17E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5733-1A67-4BEE-949F-1D3C1D79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Bakiera Agnieszka</dc:creator>
  <cp:lastModifiedBy>Stokowski Michał</cp:lastModifiedBy>
  <cp:revision>2</cp:revision>
  <dcterms:created xsi:type="dcterms:W3CDTF">2022-09-13T12:28:00Z</dcterms:created>
  <dcterms:modified xsi:type="dcterms:W3CDTF">2022-09-13T12:28:00Z</dcterms:modified>
</cp:coreProperties>
</file>