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49CD38" w14:textId="12CDE3F8" w:rsidR="009302F6" w:rsidRPr="000666E7" w:rsidRDefault="009302F6" w:rsidP="009302F6">
      <w:pPr>
        <w:pStyle w:val="OZNPROJEKTUwskazaniedatylubwersjiprojektu"/>
      </w:pPr>
      <w:bookmarkStart w:id="0" w:name="_GoBack"/>
      <w:bookmarkEnd w:id="0"/>
      <w:r>
        <w:t xml:space="preserve">Projekt z dnia </w:t>
      </w:r>
      <w:r w:rsidR="00DA7FF8">
        <w:t>26</w:t>
      </w:r>
      <w:r>
        <w:t>.03.2018 r.</w:t>
      </w:r>
    </w:p>
    <w:p w14:paraId="0152BD1B" w14:textId="77777777" w:rsidR="009302F6" w:rsidRPr="000666E7" w:rsidRDefault="009302F6" w:rsidP="009302F6">
      <w:pPr>
        <w:pStyle w:val="OZNRODZAKTUtznustawalubrozporzdzenieiorganwydajcy"/>
      </w:pPr>
      <w:r w:rsidRPr="000666E7">
        <w:t>ROZPORZĄDZENIE</w:t>
      </w:r>
    </w:p>
    <w:p w14:paraId="5E2D6D87" w14:textId="7FAF5F8B" w:rsidR="009302F6" w:rsidRPr="000666E7" w:rsidRDefault="009302F6" w:rsidP="009302F6">
      <w:pPr>
        <w:pStyle w:val="OZNRODZAKTUtznustawalubrozporzdzenieiorganwydajcy"/>
      </w:pPr>
      <w:r w:rsidRPr="000666E7">
        <w:t>MINISTRA INFRASTRUKTURY</w:t>
      </w:r>
      <w:r>
        <w:rPr>
          <w:rStyle w:val="Odwoanieprzypisudolnego"/>
        </w:rPr>
        <w:footnoteReference w:customMarkFollows="1" w:id="1"/>
        <w:t>1)</w:t>
      </w:r>
    </w:p>
    <w:p w14:paraId="0FCFC125" w14:textId="77777777" w:rsidR="009302F6" w:rsidRPr="000666E7" w:rsidRDefault="009302F6" w:rsidP="009302F6">
      <w:pPr>
        <w:pStyle w:val="DATAAKTUdatauchwalenialubwydaniaaktu"/>
      </w:pPr>
      <w:r>
        <w:t xml:space="preserve">z dnia ………………. </w:t>
      </w:r>
      <w:r w:rsidRPr="000666E7">
        <w:t>201</w:t>
      </w:r>
      <w:r>
        <w:t>8</w:t>
      </w:r>
      <w:r w:rsidRPr="000666E7">
        <w:t xml:space="preserve"> r.</w:t>
      </w:r>
    </w:p>
    <w:p w14:paraId="30315301" w14:textId="77777777" w:rsidR="009302F6" w:rsidRPr="001826A6" w:rsidRDefault="009302F6" w:rsidP="009302F6">
      <w:pPr>
        <w:pStyle w:val="TYTUAKTUprzedmiotregulacjiustawylubrozporzdzenia"/>
      </w:pPr>
      <w:r w:rsidRPr="001826A6">
        <w:t>w sprawie struktury polskiej przestrzeni powietrznej oraz szczegółowych warunków i sposobu korzystania z tej przestrzeni</w:t>
      </w:r>
    </w:p>
    <w:p w14:paraId="6F4A076E" w14:textId="77777777" w:rsidR="009302F6" w:rsidRDefault="009302F6" w:rsidP="009302F6">
      <w:pPr>
        <w:pStyle w:val="NIEARTTEKSTtekstnieartykuowanynppodstprawnarozplubpreambua"/>
      </w:pPr>
      <w:r w:rsidRPr="001826A6">
        <w:t>Na podstawie art. 121 ust. 5 ustawy z dnia 3 lipca 2002 r. – Prawo lotnicze (Dz. U. z 2017 r. poz. 959 i 108</w:t>
      </w:r>
      <w:r>
        <w:t>9 oraz z 2018 r. poz. 138</w:t>
      </w:r>
      <w:r w:rsidRPr="001826A6">
        <w:t>) zarządza się, co następuje:</w:t>
      </w:r>
    </w:p>
    <w:p w14:paraId="060BFE67" w14:textId="77777777" w:rsidR="009302F6" w:rsidRPr="00E6327D" w:rsidRDefault="009302F6" w:rsidP="009302F6">
      <w:pPr>
        <w:pStyle w:val="ROZDZODDZOZNoznaczenierozdziauluboddziau"/>
      </w:pPr>
      <w:r w:rsidRPr="00E6327D">
        <w:t xml:space="preserve">Rozdział 1 </w:t>
      </w:r>
    </w:p>
    <w:p w14:paraId="152B5737" w14:textId="77777777" w:rsidR="009302F6" w:rsidRPr="00E6327D" w:rsidRDefault="009302F6" w:rsidP="009302F6">
      <w:pPr>
        <w:pStyle w:val="ROZDZODDZPRZEDMprzedmiotregulacjirozdziauluboddziau"/>
      </w:pPr>
      <w:r w:rsidRPr="00E6327D">
        <w:t>Przepisy ogólne</w:t>
      </w:r>
    </w:p>
    <w:p w14:paraId="3ABD8963" w14:textId="77777777" w:rsidR="009302F6" w:rsidRDefault="009302F6" w:rsidP="009302F6">
      <w:pPr>
        <w:pStyle w:val="ARTartustawynprozporzdzenia"/>
      </w:pPr>
      <w:r w:rsidRPr="00871B15">
        <w:rPr>
          <w:rStyle w:val="Ppogrubienie"/>
        </w:rPr>
        <w:t>§ 1.</w:t>
      </w:r>
      <w:r w:rsidRPr="000666E7">
        <w:t xml:space="preserve"> </w:t>
      </w:r>
      <w:r w:rsidRPr="001826A6">
        <w:t>Rozporządzenie określa:</w:t>
      </w:r>
    </w:p>
    <w:p w14:paraId="144C5B7B" w14:textId="77777777" w:rsidR="009302F6" w:rsidRDefault="009302F6" w:rsidP="009302F6">
      <w:pPr>
        <w:pStyle w:val="PKTpunkt"/>
      </w:pPr>
      <w:r w:rsidRPr="001826A6">
        <w:t>1)</w:t>
      </w:r>
      <w:r w:rsidRPr="001826A6">
        <w:tab/>
        <w:t>strukturę polskiej przestrzeni powietrznej dostępnej dla żeglugi powietrznej z podziałem na przestrzeń kontrolowaną i przestrzeń niekontrolowaną</w:t>
      </w:r>
      <w:r>
        <w:t>;</w:t>
      </w:r>
    </w:p>
    <w:p w14:paraId="505E4038" w14:textId="77777777" w:rsidR="009302F6" w:rsidRDefault="009302F6" w:rsidP="009302F6">
      <w:pPr>
        <w:pStyle w:val="PKTpunkt"/>
      </w:pPr>
      <w:r w:rsidRPr="001826A6">
        <w:t>2)</w:t>
      </w:r>
      <w:r w:rsidRPr="001826A6">
        <w:tab/>
        <w:t>szczegółowe warunki i sposób korzystania z przestrzeni powietrznej przez wszystkich jej użytkowników</w:t>
      </w:r>
      <w:r>
        <w:t>.</w:t>
      </w:r>
    </w:p>
    <w:p w14:paraId="4AD28992" w14:textId="77777777" w:rsidR="009302F6" w:rsidRDefault="009302F6" w:rsidP="009302F6">
      <w:pPr>
        <w:pStyle w:val="ARTartustawynprozporzdzenia"/>
      </w:pPr>
      <w:r w:rsidRPr="00871B15">
        <w:rPr>
          <w:rStyle w:val="Ppogrubienie"/>
        </w:rPr>
        <w:t>§ 2.</w:t>
      </w:r>
      <w:r w:rsidRPr="00021A5D">
        <w:t xml:space="preserve"> Użyte w rozporządzeniu skróty i określenia oznaczają:</w:t>
      </w:r>
    </w:p>
    <w:p w14:paraId="09F48F18" w14:textId="77777777" w:rsidR="009302F6" w:rsidRPr="00021A5D" w:rsidRDefault="009302F6" w:rsidP="009302F6">
      <w:pPr>
        <w:pStyle w:val="PKTpunkt"/>
      </w:pPr>
      <w:r w:rsidRPr="00021A5D">
        <w:t>1)</w:t>
      </w:r>
      <w:r w:rsidRPr="00021A5D">
        <w:tab/>
        <w:t>ADIZ – (</w:t>
      </w:r>
      <w:proofErr w:type="spellStart"/>
      <w:r w:rsidRPr="00021A5D">
        <w:t>Air</w:t>
      </w:r>
      <w:proofErr w:type="spellEnd"/>
      <w:r w:rsidRPr="00021A5D">
        <w:t xml:space="preserve"> </w:t>
      </w:r>
      <w:proofErr w:type="spellStart"/>
      <w:r w:rsidRPr="00021A5D">
        <w:t>Defense</w:t>
      </w:r>
      <w:proofErr w:type="spellEnd"/>
      <w:r w:rsidRPr="00021A5D">
        <w:t xml:space="preserve"> </w:t>
      </w:r>
      <w:proofErr w:type="spellStart"/>
      <w:r w:rsidRPr="00021A5D">
        <w:t>Identification</w:t>
      </w:r>
      <w:proofErr w:type="spellEnd"/>
      <w:r w:rsidRPr="00021A5D">
        <w:t xml:space="preserve"> Zone) strefę identyfikacji obrony powietrznej;</w:t>
      </w:r>
    </w:p>
    <w:p w14:paraId="06223229" w14:textId="77777777" w:rsidR="009302F6" w:rsidRPr="00021A5D" w:rsidRDefault="009302F6" w:rsidP="009302F6">
      <w:pPr>
        <w:pStyle w:val="PKTpunkt"/>
      </w:pPr>
      <w:r w:rsidRPr="00021A5D">
        <w:t>2)</w:t>
      </w:r>
      <w:r w:rsidRPr="00021A5D">
        <w:tab/>
        <w:t>AIR POLICING – szczególny rodzaj działań w czasie pokoju i kryzysu, realizowanych przez załogi statków powietrznych sił dyżurnych Obrony Powietrznej Organizacji Traktatu Północnoatlantyckiego (NATO) w celu zapewnienia nienaruszalności przestrzeni powietrznej NATO, ochrony ludności i sił zbrojnych przed atakiem z powietrza oraz udzielania pomocy załogom statków powietrznych znajdujących się w niebezpieczeństwie;</w:t>
      </w:r>
    </w:p>
    <w:p w14:paraId="68EB0956" w14:textId="77777777" w:rsidR="009302F6" w:rsidRPr="00021A5D" w:rsidRDefault="009302F6" w:rsidP="009302F6">
      <w:pPr>
        <w:pStyle w:val="PKTpunkt"/>
      </w:pPr>
      <w:r w:rsidRPr="00021A5D">
        <w:t>3)</w:t>
      </w:r>
      <w:r w:rsidRPr="00021A5D">
        <w:tab/>
        <w:t>ALFA SCRAMBLE – hasło do startu statków powietrznych przechwytujących, stosowane w celu wykonania zadania bojowego, w ramach misji AIR POLICING systemu obrony powietrznej;</w:t>
      </w:r>
    </w:p>
    <w:p w14:paraId="1BD21C29" w14:textId="77777777" w:rsidR="009302F6" w:rsidRDefault="009302F6" w:rsidP="009302F6">
      <w:pPr>
        <w:pStyle w:val="PKTpunkt"/>
      </w:pPr>
      <w:r w:rsidRPr="00021A5D">
        <w:lastRenderedPageBreak/>
        <w:t>4)</w:t>
      </w:r>
      <w:r w:rsidRPr="00021A5D">
        <w:tab/>
        <w:t>AMC Polska – (</w:t>
      </w:r>
      <w:proofErr w:type="spellStart"/>
      <w:r w:rsidRPr="00021A5D">
        <w:t>Airspace</w:t>
      </w:r>
      <w:proofErr w:type="spellEnd"/>
      <w:r w:rsidRPr="00021A5D">
        <w:t xml:space="preserve"> Management Cell) komórkę zarządzania przestrzenią powietrzną będącą </w:t>
      </w:r>
      <w:proofErr w:type="spellStart"/>
      <w:r w:rsidRPr="00021A5D">
        <w:t>cywilno</w:t>
      </w:r>
      <w:proofErr w:type="spellEnd"/>
      <w:r w:rsidRPr="00021A5D">
        <w:t>–wojskową komórką odpowiedzialną za zarządzanie i alokację elastycznych elementów struktury polskiej przestrzeni powietrznej, działającą w ramach Polskiej Agencji Żeglugi Powietrznej;</w:t>
      </w:r>
    </w:p>
    <w:p w14:paraId="668F044B" w14:textId="77777777" w:rsidR="009302F6" w:rsidRPr="00021A5D" w:rsidRDefault="009302F6" w:rsidP="009302F6">
      <w:pPr>
        <w:pStyle w:val="PKTpunkt"/>
      </w:pPr>
      <w:r w:rsidRPr="00021A5D">
        <w:t>5)</w:t>
      </w:r>
      <w:r w:rsidRPr="00021A5D">
        <w:tab/>
        <w:t>ARP – (</w:t>
      </w:r>
      <w:proofErr w:type="spellStart"/>
      <w:r w:rsidRPr="00021A5D">
        <w:t>Aerodrome</w:t>
      </w:r>
      <w:proofErr w:type="spellEnd"/>
      <w:r w:rsidRPr="00021A5D">
        <w:t xml:space="preserve"> Reference Point) punkt odniesienia lotniska;</w:t>
      </w:r>
    </w:p>
    <w:p w14:paraId="17A4A251" w14:textId="77777777" w:rsidR="009302F6" w:rsidRDefault="009302F6" w:rsidP="009302F6">
      <w:pPr>
        <w:pStyle w:val="PKTpunkt"/>
      </w:pPr>
      <w:r w:rsidRPr="00021A5D">
        <w:t>6)</w:t>
      </w:r>
      <w:r w:rsidRPr="00021A5D">
        <w:tab/>
        <w:t>ATC – (</w:t>
      </w:r>
      <w:proofErr w:type="spellStart"/>
      <w:r w:rsidRPr="00021A5D">
        <w:t>Air</w:t>
      </w:r>
      <w:proofErr w:type="spellEnd"/>
      <w:r w:rsidRPr="00021A5D">
        <w:t xml:space="preserve"> </w:t>
      </w:r>
      <w:proofErr w:type="spellStart"/>
      <w:r w:rsidRPr="00021A5D">
        <w:t>Traffic</w:t>
      </w:r>
      <w:proofErr w:type="spellEnd"/>
      <w:r w:rsidRPr="00021A5D">
        <w:t xml:space="preserve"> Control) kontrolę ruchu lotniczego polegającą na zapewnieniu służby kontroli lotniska, zbliżania i obszaru;</w:t>
      </w:r>
    </w:p>
    <w:p w14:paraId="21F3B493" w14:textId="77777777" w:rsidR="009302F6" w:rsidRPr="00021A5D" w:rsidRDefault="009302F6" w:rsidP="009302F6">
      <w:pPr>
        <w:pStyle w:val="PKTpunkt"/>
      </w:pPr>
      <w:r w:rsidRPr="00021A5D">
        <w:t>7)</w:t>
      </w:r>
      <w:r w:rsidRPr="00021A5D">
        <w:tab/>
        <w:t>ATFM – (</w:t>
      </w:r>
      <w:proofErr w:type="spellStart"/>
      <w:r w:rsidRPr="00021A5D">
        <w:t>Air</w:t>
      </w:r>
      <w:proofErr w:type="spellEnd"/>
      <w:r w:rsidRPr="00021A5D">
        <w:t xml:space="preserve"> </w:t>
      </w:r>
      <w:proofErr w:type="spellStart"/>
      <w:r w:rsidRPr="00021A5D">
        <w:t>Traffic</w:t>
      </w:r>
      <w:proofErr w:type="spellEnd"/>
      <w:r w:rsidRPr="00021A5D">
        <w:t xml:space="preserve"> </w:t>
      </w:r>
      <w:proofErr w:type="spellStart"/>
      <w:r w:rsidRPr="00021A5D">
        <w:t>Flow</w:t>
      </w:r>
      <w:proofErr w:type="spellEnd"/>
      <w:r w:rsidRPr="00021A5D">
        <w:t xml:space="preserve"> Management) zarządzanie przepływem ruchu lotniczego, o którym mowa w art. 2 pkt 9 rozporządzenia (WE) nr 549/2004 Parlamentu Europejskiego i Rady z dnia 10 marca 2004 r. ustanawiającego ramy tworzenia Jednolitej Europejskiej Przestrzeni Powietrznej</w:t>
      </w:r>
      <w:r w:rsidRPr="00021A5D" w:rsidDel="003611C0">
        <w:t xml:space="preserve"> </w:t>
      </w:r>
      <w:r w:rsidRPr="00021A5D">
        <w:t xml:space="preserve">(Dz. Urz. UE L 96 z 31.03.2004; Dz. Urz. UE Polskie wydanie specjalne, rozdz. 7, t. 8, str. 23, z </w:t>
      </w:r>
      <w:proofErr w:type="spellStart"/>
      <w:r w:rsidRPr="00021A5D">
        <w:t>późn</w:t>
      </w:r>
      <w:proofErr w:type="spellEnd"/>
      <w:r w:rsidRPr="00021A5D">
        <w:t>. zm.</w:t>
      </w:r>
      <w:r w:rsidR="00D64477">
        <w:rPr>
          <w:rStyle w:val="Odwoanieprzypisudolnego"/>
        </w:rPr>
        <w:footnoteReference w:id="2"/>
      </w:r>
      <w:r w:rsidR="004A6C88" w:rsidRPr="004A6C88">
        <w:rPr>
          <w:rStyle w:val="IGindeksgrny"/>
        </w:rPr>
        <w:t>)</w:t>
      </w:r>
      <w:r w:rsidR="00D64477">
        <w:t>)</w:t>
      </w:r>
      <w:r w:rsidRPr="00021A5D">
        <w:t>;</w:t>
      </w:r>
    </w:p>
    <w:p w14:paraId="1D633941" w14:textId="77777777" w:rsidR="009302F6" w:rsidRPr="00021A5D" w:rsidRDefault="009302F6" w:rsidP="009302F6">
      <w:pPr>
        <w:pStyle w:val="PKTpunkt"/>
      </w:pPr>
      <w:r w:rsidRPr="00021A5D">
        <w:t>8)</w:t>
      </w:r>
      <w:r w:rsidRPr="00021A5D">
        <w:tab/>
        <w:t>ATFMX – (</w:t>
      </w:r>
      <w:proofErr w:type="spellStart"/>
      <w:r w:rsidRPr="00021A5D">
        <w:t>Air</w:t>
      </w:r>
      <w:proofErr w:type="spellEnd"/>
      <w:r w:rsidRPr="00021A5D">
        <w:t xml:space="preserve"> </w:t>
      </w:r>
      <w:proofErr w:type="spellStart"/>
      <w:r w:rsidRPr="00021A5D">
        <w:t>Traffic</w:t>
      </w:r>
      <w:proofErr w:type="spellEnd"/>
      <w:r w:rsidRPr="00021A5D">
        <w:t xml:space="preserve"> </w:t>
      </w:r>
      <w:proofErr w:type="spellStart"/>
      <w:r w:rsidRPr="00021A5D">
        <w:t>Flow</w:t>
      </w:r>
      <w:proofErr w:type="spellEnd"/>
      <w:r w:rsidRPr="00021A5D">
        <w:t xml:space="preserve"> Management</w:t>
      </w:r>
      <w:r>
        <w:t xml:space="preserve"> </w:t>
      </w:r>
      <w:proofErr w:type="spellStart"/>
      <w:r>
        <w:t>Exempted</w:t>
      </w:r>
      <w:proofErr w:type="spellEnd"/>
      <w:r w:rsidRPr="00021A5D">
        <w:t>)</w:t>
      </w:r>
      <w:r>
        <w:t xml:space="preserve"> </w:t>
      </w:r>
      <w:r w:rsidRPr="00021A5D">
        <w:t>status lotu statku powietrznego wykonującego lot, dla którego wyjątek od stosowania środków ATFM zatwierdziła instytucja zapewniająca służby kontroli ruchu lotniczego;</w:t>
      </w:r>
    </w:p>
    <w:p w14:paraId="029841E4" w14:textId="77777777" w:rsidR="009302F6" w:rsidRPr="00021A5D" w:rsidRDefault="009302F6" w:rsidP="009302F6">
      <w:pPr>
        <w:pStyle w:val="PKTpunkt"/>
      </w:pPr>
      <w:r w:rsidRPr="00021A5D">
        <w:t>9)</w:t>
      </w:r>
      <w:r w:rsidRPr="00021A5D">
        <w:tab/>
        <w:t>ATM – (</w:t>
      </w:r>
      <w:proofErr w:type="spellStart"/>
      <w:r w:rsidRPr="00021A5D">
        <w:t>Air</w:t>
      </w:r>
      <w:proofErr w:type="spellEnd"/>
      <w:r w:rsidRPr="00021A5D">
        <w:t xml:space="preserve"> </w:t>
      </w:r>
      <w:proofErr w:type="spellStart"/>
      <w:r w:rsidRPr="00021A5D">
        <w:t>Traffic</w:t>
      </w:r>
      <w:proofErr w:type="spellEnd"/>
      <w:r w:rsidRPr="00021A5D">
        <w:t xml:space="preserve"> Management) zarządzanie ruchem lotniczym – ogół działań polegających na zapewnianiu służb ruchu lotniczego, zarządzaniu przepływem ruchu lotniczego i przestrzenią powietrzną;</w:t>
      </w:r>
    </w:p>
    <w:p w14:paraId="2624820D" w14:textId="77777777" w:rsidR="009302F6" w:rsidRPr="00021A5D" w:rsidRDefault="009302F6" w:rsidP="009302F6">
      <w:pPr>
        <w:pStyle w:val="PKTpunkt"/>
      </w:pPr>
      <w:r w:rsidRPr="00021A5D">
        <w:t>10)</w:t>
      </w:r>
      <w:r w:rsidRPr="00021A5D">
        <w:tab/>
        <w:t>ATZ – (</w:t>
      </w:r>
      <w:proofErr w:type="spellStart"/>
      <w:r w:rsidRPr="00021A5D">
        <w:t>Aerodrome</w:t>
      </w:r>
      <w:proofErr w:type="spellEnd"/>
      <w:r w:rsidRPr="00021A5D">
        <w:t xml:space="preserve"> </w:t>
      </w:r>
      <w:proofErr w:type="spellStart"/>
      <w:r w:rsidRPr="00021A5D">
        <w:t>Traffic</w:t>
      </w:r>
      <w:proofErr w:type="spellEnd"/>
      <w:r w:rsidRPr="00021A5D">
        <w:t xml:space="preserve"> Zone) strefę ruchu lotniskowego;</w:t>
      </w:r>
    </w:p>
    <w:p w14:paraId="619DE55E" w14:textId="77777777" w:rsidR="009302F6" w:rsidRPr="00021A5D" w:rsidRDefault="009302F6" w:rsidP="009302F6">
      <w:pPr>
        <w:pStyle w:val="PKTpunkt"/>
      </w:pPr>
      <w:r w:rsidRPr="00021A5D">
        <w:t>11)</w:t>
      </w:r>
      <w:r w:rsidRPr="00021A5D">
        <w:tab/>
        <w:t>ATS – (</w:t>
      </w:r>
      <w:proofErr w:type="spellStart"/>
      <w:r w:rsidRPr="00021A5D">
        <w:t>Air</w:t>
      </w:r>
      <w:proofErr w:type="spellEnd"/>
      <w:r w:rsidRPr="00021A5D">
        <w:t xml:space="preserve"> </w:t>
      </w:r>
      <w:proofErr w:type="spellStart"/>
      <w:r w:rsidRPr="00021A5D">
        <w:t>Traffic</w:t>
      </w:r>
      <w:proofErr w:type="spellEnd"/>
      <w:r w:rsidRPr="00021A5D">
        <w:t xml:space="preserve"> Services) służby ruchu lotniczego, o których mowa w art. 2 pkt 32 rozporządzenia wykonawczego Komisji (UE) nr 923/2012 z dnia 26 września 2012 r. ustanawiającego wspólne zasady w odniesieniu do przepisów lotniczych i operacyjnych dotyczących służb i procedur żeglugi powietrznej oraz zmieniającego rozporządzenie wykonawcze (WE) nr 1035/2011 oraz rozporządzenia (WE) nr 1265/2007, (WE) nr 1794/2006, (WE) nr 730/2006, (WE) nr 1033/2006 i (UE) nr 255/2010 (Dz. Urz. UE L 281 z 13.10.2012, str. 1, z </w:t>
      </w:r>
      <w:proofErr w:type="spellStart"/>
      <w:r w:rsidRPr="00021A5D">
        <w:t>późn</w:t>
      </w:r>
      <w:proofErr w:type="spellEnd"/>
      <w:r w:rsidRPr="00021A5D">
        <w:t>. zm.</w:t>
      </w:r>
      <w:r w:rsidR="00D64477">
        <w:rPr>
          <w:rStyle w:val="Odwoanieprzypisudolnego"/>
        </w:rPr>
        <w:footnoteReference w:id="3"/>
      </w:r>
      <w:r>
        <w:rPr>
          <w:rStyle w:val="IGindeksgrny"/>
        </w:rPr>
        <w:t>)</w:t>
      </w:r>
      <w:r w:rsidRPr="00021A5D">
        <w:t>), zwane dalej „rozporządzeniem SERA”;</w:t>
      </w:r>
    </w:p>
    <w:p w14:paraId="01754448" w14:textId="77777777" w:rsidR="009302F6" w:rsidRPr="00021A5D" w:rsidRDefault="009302F6" w:rsidP="009302F6">
      <w:pPr>
        <w:pStyle w:val="PKTpunkt"/>
      </w:pPr>
      <w:r w:rsidRPr="00021A5D">
        <w:t>12)</w:t>
      </w:r>
      <w:r w:rsidRPr="00021A5D">
        <w:tab/>
        <w:t>AUP – (</w:t>
      </w:r>
      <w:proofErr w:type="spellStart"/>
      <w:r w:rsidRPr="00021A5D">
        <w:t>Airspace</w:t>
      </w:r>
      <w:proofErr w:type="spellEnd"/>
      <w:r w:rsidRPr="00021A5D">
        <w:t xml:space="preserve"> </w:t>
      </w:r>
      <w:proofErr w:type="spellStart"/>
      <w:r w:rsidRPr="00021A5D">
        <w:t>Use</w:t>
      </w:r>
      <w:proofErr w:type="spellEnd"/>
      <w:r w:rsidRPr="00021A5D">
        <w:t xml:space="preserve"> Plan) plan użytkowania przestrzeni powietrznej</w:t>
      </w:r>
      <w:r>
        <w:t xml:space="preserve"> o statusie NOTAM wydawany przez AMC Polska</w:t>
      </w:r>
      <w:r w:rsidRPr="00021A5D">
        <w:t>;</w:t>
      </w:r>
    </w:p>
    <w:p w14:paraId="0AC93EAC" w14:textId="77777777" w:rsidR="009302F6" w:rsidRPr="00021A5D" w:rsidRDefault="009302F6" w:rsidP="009302F6">
      <w:pPr>
        <w:pStyle w:val="PKTpunkt"/>
      </w:pPr>
      <w:r w:rsidRPr="00021A5D">
        <w:t>13)</w:t>
      </w:r>
      <w:r w:rsidRPr="00021A5D">
        <w:tab/>
        <w:t>AWY – (</w:t>
      </w:r>
      <w:proofErr w:type="spellStart"/>
      <w:r w:rsidRPr="00021A5D">
        <w:t>Airway</w:t>
      </w:r>
      <w:proofErr w:type="spellEnd"/>
      <w:r w:rsidRPr="00021A5D">
        <w:t>) stałą drogę lotniczą;</w:t>
      </w:r>
    </w:p>
    <w:p w14:paraId="65760F05" w14:textId="77777777" w:rsidR="009302F6" w:rsidRPr="00021A5D" w:rsidRDefault="009302F6" w:rsidP="009302F6">
      <w:pPr>
        <w:pStyle w:val="PKTpunkt"/>
      </w:pPr>
      <w:r w:rsidRPr="00021A5D">
        <w:lastRenderedPageBreak/>
        <w:t>14)</w:t>
      </w:r>
      <w:r w:rsidRPr="00021A5D">
        <w:tab/>
        <w:t>CBA – (Cross</w:t>
      </w:r>
      <w:r>
        <w:t xml:space="preserve"> </w:t>
      </w:r>
      <w:proofErr w:type="spellStart"/>
      <w:r w:rsidRPr="00021A5D">
        <w:t>Border</w:t>
      </w:r>
      <w:proofErr w:type="spellEnd"/>
      <w:r w:rsidRPr="00021A5D">
        <w:t xml:space="preserve"> </w:t>
      </w:r>
      <w:proofErr w:type="spellStart"/>
      <w:r w:rsidRPr="00021A5D">
        <w:t>Area</w:t>
      </w:r>
      <w:proofErr w:type="spellEnd"/>
      <w:r w:rsidRPr="00021A5D">
        <w:t>) rejon lotów po obu stronach granicy państwa będący rejonem czasowo wydzielonym lub rezerwowanym, ustanowiony ze względu na szczególne wymogi operacyjne;</w:t>
      </w:r>
    </w:p>
    <w:p w14:paraId="7D2B238B" w14:textId="77777777" w:rsidR="009302F6" w:rsidRPr="00021A5D" w:rsidRDefault="009302F6" w:rsidP="009302F6">
      <w:pPr>
        <w:pStyle w:val="PKTpunkt"/>
      </w:pPr>
      <w:r w:rsidRPr="00021A5D">
        <w:t>15)</w:t>
      </w:r>
      <w:r w:rsidRPr="00021A5D">
        <w:tab/>
        <w:t>CDR – (</w:t>
      </w:r>
      <w:proofErr w:type="spellStart"/>
      <w:r w:rsidRPr="00021A5D">
        <w:t>Conditional</w:t>
      </w:r>
      <w:proofErr w:type="spellEnd"/>
      <w:r w:rsidRPr="00021A5D">
        <w:t xml:space="preserve"> </w:t>
      </w:r>
      <w:proofErr w:type="spellStart"/>
      <w:r w:rsidRPr="00021A5D">
        <w:t>Route</w:t>
      </w:r>
      <w:proofErr w:type="spellEnd"/>
      <w:r w:rsidRPr="00021A5D">
        <w:t xml:space="preserve">) warunkową drogę lotniczą, która może być zaplanowana i </w:t>
      </w:r>
      <w:r>
        <w:t>wykorzystywana</w:t>
      </w:r>
      <w:r w:rsidRPr="00021A5D">
        <w:t xml:space="preserve"> pod określonymi warunkami, z określoną jedną lub kilkoma kategoriami w zależności od jej przewidywanej dostępności, możliwości planowania i spodziewanych poziomów aktywności związanych z nią TSA albo TRA;</w:t>
      </w:r>
    </w:p>
    <w:p w14:paraId="7AFF833A" w14:textId="77777777" w:rsidR="009302F6" w:rsidRPr="00021A5D" w:rsidRDefault="009302F6" w:rsidP="009302F6">
      <w:pPr>
        <w:pStyle w:val="PKTpunkt"/>
      </w:pPr>
      <w:r w:rsidRPr="00021A5D">
        <w:t>16)</w:t>
      </w:r>
      <w:r w:rsidRPr="00021A5D">
        <w:tab/>
        <w:t xml:space="preserve">CTA – (Control </w:t>
      </w:r>
      <w:proofErr w:type="spellStart"/>
      <w:r w:rsidRPr="00021A5D">
        <w:t>Area</w:t>
      </w:r>
      <w:proofErr w:type="spellEnd"/>
      <w:r w:rsidRPr="00021A5D">
        <w:t>) obszar kontrolowany;</w:t>
      </w:r>
    </w:p>
    <w:p w14:paraId="375A5277" w14:textId="77777777" w:rsidR="009302F6" w:rsidRPr="00021A5D" w:rsidRDefault="009302F6" w:rsidP="009302F6">
      <w:pPr>
        <w:pStyle w:val="PKTpunkt"/>
      </w:pPr>
      <w:r w:rsidRPr="00021A5D">
        <w:t>17)</w:t>
      </w:r>
      <w:r w:rsidRPr="00021A5D">
        <w:tab/>
        <w:t>CTR – (Control Zone) strefę kontrolowaną lotniska;</w:t>
      </w:r>
    </w:p>
    <w:p w14:paraId="1F1A6597" w14:textId="77777777" w:rsidR="009302F6" w:rsidRPr="00021A5D" w:rsidRDefault="009302F6" w:rsidP="009302F6">
      <w:pPr>
        <w:pStyle w:val="PKTpunkt"/>
      </w:pPr>
      <w:r w:rsidRPr="00021A5D">
        <w:t>18)</w:t>
      </w:r>
      <w:r w:rsidRPr="00021A5D">
        <w:tab/>
        <w:t>D – (</w:t>
      </w:r>
      <w:proofErr w:type="spellStart"/>
      <w:r w:rsidRPr="00021A5D">
        <w:t>Danger</w:t>
      </w:r>
      <w:proofErr w:type="spellEnd"/>
      <w:r w:rsidRPr="00021A5D">
        <w:t xml:space="preserve"> </w:t>
      </w:r>
      <w:proofErr w:type="spellStart"/>
      <w:r w:rsidRPr="00021A5D">
        <w:t>Area</w:t>
      </w:r>
      <w:proofErr w:type="spellEnd"/>
      <w:r w:rsidRPr="00021A5D">
        <w:t>) strefę niebezpieczną, o której mowa w art. 2 pkt 65 rozporządzenia SERA;</w:t>
      </w:r>
    </w:p>
    <w:p w14:paraId="52B81AD6" w14:textId="77777777" w:rsidR="009302F6" w:rsidRDefault="009302F6" w:rsidP="009302F6">
      <w:pPr>
        <w:pStyle w:val="PKTpunkt"/>
      </w:pPr>
      <w:r w:rsidRPr="00021A5D">
        <w:t>19)</w:t>
      </w:r>
      <w:r w:rsidRPr="00021A5D">
        <w:tab/>
        <w:t>elastyczne elementy struktury przestrzeni powietrznej</w:t>
      </w:r>
      <w:r>
        <w:t xml:space="preserve"> – czasowo rezerwowane określone części przestrzeni powietrznej do wyłącznego lub szczególnego użytku przez określonych użytkowników;</w:t>
      </w:r>
    </w:p>
    <w:p w14:paraId="7BEA5A6E" w14:textId="77777777" w:rsidR="009302F6" w:rsidRPr="00021A5D" w:rsidRDefault="009302F6" w:rsidP="009302F6">
      <w:pPr>
        <w:pStyle w:val="PKTpunkt"/>
      </w:pPr>
      <w:r>
        <w:t>20)</w:t>
      </w:r>
      <w:r>
        <w:tab/>
      </w:r>
      <w:r w:rsidRPr="00021A5D">
        <w:t xml:space="preserve">FFR – </w:t>
      </w:r>
      <w:r>
        <w:t>(</w:t>
      </w:r>
      <w:proofErr w:type="spellStart"/>
      <w:r>
        <w:t>Firefighter</w:t>
      </w:r>
      <w:proofErr w:type="spellEnd"/>
      <w:r>
        <w:t xml:space="preserve"> </w:t>
      </w:r>
      <w:proofErr w:type="spellStart"/>
      <w:r>
        <w:t>Rescue</w:t>
      </w:r>
      <w:proofErr w:type="spellEnd"/>
      <w:r>
        <w:t xml:space="preserve">) </w:t>
      </w:r>
      <w:r w:rsidRPr="00021A5D">
        <w:t>status lotu statku powietrznego wykonującego lot w celu zwalczania pożarów, zgłaszany przez organy właściwe w zakresie zwalczania pożarów;</w:t>
      </w:r>
    </w:p>
    <w:p w14:paraId="689C343B" w14:textId="77777777" w:rsidR="009302F6" w:rsidRPr="00021A5D" w:rsidRDefault="009302F6" w:rsidP="009302F6">
      <w:pPr>
        <w:pStyle w:val="PKTpunkt"/>
      </w:pPr>
      <w:r w:rsidRPr="00021A5D">
        <w:t>21)</w:t>
      </w:r>
      <w:r w:rsidRPr="00021A5D">
        <w:tab/>
        <w:t>FIR – (Flight Information Region) rejon informacji powietrznej, o którym mowa w art. 2 pkt 23 rozporządzenia (WE) nr 549/2004 Parlamentu Europejskiego i Rady z dnia 10 marca 2004 r. ustanawiającego ramy tworzenia Jednolitej Europejskiej Przestrzeni Powietrznej;</w:t>
      </w:r>
    </w:p>
    <w:p w14:paraId="4B8CA874" w14:textId="77777777" w:rsidR="009302F6" w:rsidRPr="00021A5D" w:rsidRDefault="009302F6" w:rsidP="009302F6">
      <w:pPr>
        <w:pStyle w:val="PKTpunkt"/>
      </w:pPr>
      <w:r w:rsidRPr="00021A5D">
        <w:t>2</w:t>
      </w:r>
      <w:r>
        <w:t>2</w:t>
      </w:r>
      <w:r w:rsidRPr="00021A5D">
        <w:t>)</w:t>
      </w:r>
      <w:r w:rsidRPr="00021A5D">
        <w:tab/>
        <w:t>FL – (Flight Level) poziom lotu, o którym mowa w art. 2 pkt 78 rozporządzenia SERA;</w:t>
      </w:r>
    </w:p>
    <w:p w14:paraId="6E274EFE" w14:textId="77777777" w:rsidR="009302F6" w:rsidRDefault="009302F6" w:rsidP="009302F6">
      <w:pPr>
        <w:pStyle w:val="PKTpunkt"/>
      </w:pPr>
      <w:r w:rsidRPr="00021A5D">
        <w:t>2</w:t>
      </w:r>
      <w:r>
        <w:t>3</w:t>
      </w:r>
      <w:r w:rsidRPr="00021A5D">
        <w:t>)</w:t>
      </w:r>
      <w:r w:rsidRPr="00021A5D">
        <w:tab/>
        <w:t>GARDA – hasło, na jakie statek powietrzny wykonuje zadania związane z bezpieczeństwem powszechnym, porządkiem publicznym i ochroną granicy państwowej;</w:t>
      </w:r>
    </w:p>
    <w:p w14:paraId="750E52D7" w14:textId="77777777" w:rsidR="009302F6" w:rsidRPr="00021A5D" w:rsidRDefault="009302F6" w:rsidP="009302F6">
      <w:pPr>
        <w:pStyle w:val="PKTpunkt"/>
      </w:pPr>
      <w:r w:rsidRPr="00021A5D">
        <w:t>2</w:t>
      </w:r>
      <w:r>
        <w:t>4</w:t>
      </w:r>
      <w:r w:rsidRPr="00021A5D">
        <w:t>)</w:t>
      </w:r>
      <w:r w:rsidRPr="00021A5D">
        <w:tab/>
        <w:t xml:space="preserve">HOSP – </w:t>
      </w:r>
      <w:r>
        <w:t>(</w:t>
      </w:r>
      <w:proofErr w:type="spellStart"/>
      <w:r>
        <w:t>Hospital</w:t>
      </w:r>
      <w:proofErr w:type="spellEnd"/>
      <w:r>
        <w:t xml:space="preserve">) </w:t>
      </w:r>
      <w:r w:rsidRPr="00021A5D">
        <w:t>status lotu statku powietrznego wykonującego lot w celu niesienia pomocy medycznej, zgłoszony przez odpowiednie służby medyczne;</w:t>
      </w:r>
    </w:p>
    <w:p w14:paraId="418D09F3" w14:textId="77777777" w:rsidR="009302F6" w:rsidRPr="00021A5D" w:rsidRDefault="009302F6" w:rsidP="009302F6">
      <w:pPr>
        <w:pStyle w:val="PKTpunkt"/>
      </w:pPr>
      <w:r w:rsidRPr="00021A5D">
        <w:t>2</w:t>
      </w:r>
      <w:r>
        <w:t>5</w:t>
      </w:r>
      <w:r w:rsidRPr="00021A5D">
        <w:t>)</w:t>
      </w:r>
      <w:r w:rsidRPr="00021A5D">
        <w:tab/>
        <w:t xml:space="preserve">HUM – </w:t>
      </w:r>
      <w:r>
        <w:t>(</w:t>
      </w:r>
      <w:proofErr w:type="spellStart"/>
      <w:r>
        <w:t>Humanitarian</w:t>
      </w:r>
      <w:proofErr w:type="spellEnd"/>
      <w:r>
        <w:t xml:space="preserve">) </w:t>
      </w:r>
      <w:r w:rsidRPr="00021A5D">
        <w:t>status lotu statku powietrznego biorącego udział w akcji humanitarnej;</w:t>
      </w:r>
    </w:p>
    <w:p w14:paraId="5AC39541" w14:textId="77777777" w:rsidR="009302F6" w:rsidRPr="00021A5D" w:rsidRDefault="009302F6" w:rsidP="009302F6">
      <w:pPr>
        <w:pStyle w:val="PKTpunkt"/>
      </w:pPr>
      <w:r w:rsidRPr="00021A5D">
        <w:t>2</w:t>
      </w:r>
      <w:r>
        <w:t>6</w:t>
      </w:r>
      <w:r w:rsidRPr="00021A5D">
        <w:t>)</w:t>
      </w:r>
      <w:r w:rsidRPr="00021A5D">
        <w:tab/>
        <w:t>ICAO – Organizację Międzynarodowego Lotnictwa Cywilnego;</w:t>
      </w:r>
    </w:p>
    <w:p w14:paraId="1C41C09F" w14:textId="77777777" w:rsidR="009302F6" w:rsidRPr="00021A5D" w:rsidRDefault="009302F6" w:rsidP="009302F6">
      <w:pPr>
        <w:pStyle w:val="PKTpunkt"/>
      </w:pPr>
      <w:r w:rsidRPr="00021A5D">
        <w:t>2</w:t>
      </w:r>
      <w:r>
        <w:t>7</w:t>
      </w:r>
      <w:r w:rsidRPr="00021A5D">
        <w:t>)</w:t>
      </w:r>
      <w:r w:rsidRPr="00021A5D">
        <w:tab/>
        <w:t>Instytucja – Polską Agencję Żeglugi Powietrznej</w:t>
      </w:r>
      <w:r>
        <w:t xml:space="preserve"> </w:t>
      </w:r>
      <w:r w:rsidRPr="00021A5D">
        <w:t>–</w:t>
      </w:r>
      <w:r>
        <w:t xml:space="preserve"> </w:t>
      </w:r>
      <w:r w:rsidRPr="00B11D43">
        <w:t>instytucję zapewniającą służby ruchu lotniczego</w:t>
      </w:r>
      <w:r w:rsidRPr="00021A5D">
        <w:t>;</w:t>
      </w:r>
    </w:p>
    <w:p w14:paraId="21875DB8" w14:textId="77777777" w:rsidR="009302F6" w:rsidRPr="00021A5D" w:rsidRDefault="009302F6" w:rsidP="009302F6">
      <w:pPr>
        <w:pStyle w:val="PKTpunkt"/>
      </w:pPr>
      <w:r w:rsidRPr="00021A5D">
        <w:t>2</w:t>
      </w:r>
      <w:r>
        <w:t>8</w:t>
      </w:r>
      <w:r w:rsidRPr="00021A5D">
        <w:t>)</w:t>
      </w:r>
      <w:r w:rsidRPr="00021A5D">
        <w:tab/>
        <w:t>MATZ – (</w:t>
      </w:r>
      <w:proofErr w:type="spellStart"/>
      <w:r w:rsidRPr="00021A5D">
        <w:t>Military</w:t>
      </w:r>
      <w:proofErr w:type="spellEnd"/>
      <w:r w:rsidRPr="00021A5D">
        <w:t xml:space="preserve"> ATZ) strefę ruchu lotniskowego lotniska wojskowego;</w:t>
      </w:r>
    </w:p>
    <w:p w14:paraId="61231A08" w14:textId="77777777" w:rsidR="009302F6" w:rsidRPr="00021A5D" w:rsidRDefault="009302F6" w:rsidP="009302F6">
      <w:pPr>
        <w:pStyle w:val="PKTpunkt"/>
      </w:pPr>
      <w:r w:rsidRPr="00021A5D">
        <w:lastRenderedPageBreak/>
        <w:t>2</w:t>
      </w:r>
      <w:r>
        <w:t>9</w:t>
      </w:r>
      <w:r w:rsidRPr="00021A5D">
        <w:t xml:space="preserve">) </w:t>
      </w:r>
      <w:r w:rsidR="00216A16">
        <w:tab/>
      </w:r>
      <w:r w:rsidRPr="00021A5D">
        <w:t xml:space="preserve">MEDEVAC – </w:t>
      </w:r>
      <w:r w:rsidR="0072779B">
        <w:t>(</w:t>
      </w:r>
      <w:proofErr w:type="spellStart"/>
      <w:r w:rsidR="0072779B">
        <w:t>Medical</w:t>
      </w:r>
      <w:proofErr w:type="spellEnd"/>
      <w:r w:rsidR="0072779B">
        <w:t xml:space="preserve"> </w:t>
      </w:r>
      <w:proofErr w:type="spellStart"/>
      <w:r w:rsidR="0072779B">
        <w:t>evacuation</w:t>
      </w:r>
      <w:proofErr w:type="spellEnd"/>
      <w:r w:rsidR="0072779B">
        <w:t xml:space="preserve">) </w:t>
      </w:r>
      <w:r w:rsidRPr="00021A5D">
        <w:t>status lotu statku powietrznego wykonującego lot w celu ewakuacji medycznej w sytuacjach zagrożenia życia;</w:t>
      </w:r>
    </w:p>
    <w:p w14:paraId="1AAA9BF8" w14:textId="77777777" w:rsidR="009302F6" w:rsidRPr="00021A5D" w:rsidRDefault="009302F6" w:rsidP="009302F6">
      <w:pPr>
        <w:pStyle w:val="PKTpunkt"/>
      </w:pPr>
      <w:r>
        <w:t>30</w:t>
      </w:r>
      <w:r w:rsidRPr="00021A5D">
        <w:t>)</w:t>
      </w:r>
      <w:r w:rsidRPr="00021A5D">
        <w:tab/>
        <w:t>MCTR – (</w:t>
      </w:r>
      <w:proofErr w:type="spellStart"/>
      <w:r w:rsidRPr="00021A5D">
        <w:t>Military</w:t>
      </w:r>
      <w:proofErr w:type="spellEnd"/>
      <w:r w:rsidRPr="00021A5D">
        <w:t xml:space="preserve"> CTR) strefę kontrolowaną lotniska wojskowego;</w:t>
      </w:r>
    </w:p>
    <w:p w14:paraId="1E2E44A0" w14:textId="77777777" w:rsidR="009302F6" w:rsidRPr="00021A5D" w:rsidRDefault="009302F6" w:rsidP="009302F6">
      <w:pPr>
        <w:pStyle w:val="PKTpunkt"/>
      </w:pPr>
      <w:r>
        <w:t>31</w:t>
      </w:r>
      <w:r w:rsidRPr="00021A5D">
        <w:t>)</w:t>
      </w:r>
      <w:r w:rsidRPr="00021A5D">
        <w:tab/>
        <w:t>MRT – (</w:t>
      </w:r>
      <w:proofErr w:type="spellStart"/>
      <w:r w:rsidRPr="00021A5D">
        <w:t>Military</w:t>
      </w:r>
      <w:proofErr w:type="spellEnd"/>
      <w:r w:rsidRPr="00021A5D">
        <w:t xml:space="preserve"> </w:t>
      </w:r>
      <w:proofErr w:type="spellStart"/>
      <w:r w:rsidRPr="00021A5D">
        <w:t>Route</w:t>
      </w:r>
      <w:proofErr w:type="spellEnd"/>
      <w:r w:rsidRPr="00021A5D">
        <w:t>) trasę lotnictwa wojskowego;</w:t>
      </w:r>
    </w:p>
    <w:p w14:paraId="700B6532" w14:textId="77777777" w:rsidR="009302F6" w:rsidRPr="00021A5D" w:rsidRDefault="009302F6" w:rsidP="009302F6">
      <w:pPr>
        <w:pStyle w:val="PKTpunkt"/>
      </w:pPr>
      <w:r w:rsidRPr="00021A5D">
        <w:t>3</w:t>
      </w:r>
      <w:r>
        <w:t>2</w:t>
      </w:r>
      <w:r w:rsidRPr="00021A5D">
        <w:t>)</w:t>
      </w:r>
      <w:r w:rsidRPr="00021A5D">
        <w:tab/>
        <w:t>MTMA – (</w:t>
      </w:r>
      <w:proofErr w:type="spellStart"/>
      <w:r w:rsidRPr="00021A5D">
        <w:t>Military</w:t>
      </w:r>
      <w:proofErr w:type="spellEnd"/>
      <w:r w:rsidRPr="00021A5D">
        <w:t xml:space="preserve"> TMA) rejon kontrolowany lotniska wojskowego lub węzła lotnisk wojskowych;</w:t>
      </w:r>
    </w:p>
    <w:p w14:paraId="00361C6A" w14:textId="77777777" w:rsidR="009302F6" w:rsidRPr="00021A5D" w:rsidRDefault="009302F6" w:rsidP="009302F6">
      <w:pPr>
        <w:pStyle w:val="PKTpunkt"/>
      </w:pPr>
      <w:r w:rsidRPr="00021A5D">
        <w:t>3</w:t>
      </w:r>
      <w:r>
        <w:t>3</w:t>
      </w:r>
      <w:r w:rsidRPr="00021A5D">
        <w:t>)</w:t>
      </w:r>
      <w:r w:rsidRPr="00021A5D">
        <w:tab/>
        <w:t>NOTAM – (</w:t>
      </w:r>
      <w:proofErr w:type="spellStart"/>
      <w:r w:rsidRPr="00021A5D">
        <w:t>Notice</w:t>
      </w:r>
      <w:proofErr w:type="spellEnd"/>
      <w:r w:rsidRPr="00021A5D">
        <w:t xml:space="preserve"> To </w:t>
      </w:r>
      <w:proofErr w:type="spellStart"/>
      <w:r w:rsidRPr="00021A5D">
        <w:t>Airmen</w:t>
      </w:r>
      <w:proofErr w:type="spellEnd"/>
      <w:r w:rsidRPr="00021A5D">
        <w:t>) wiadomość rozpowszechnianą za pomocą środków telekomunikacyjnych, zawierającą informacje o ustanowieniu, stanie lub zmianach urządzeń lotniczych, służbach, procedurach, a także o niebezpieczeństwie, których znajomość we właściwym czasie jest istotna dla personelu związanego z operacjami lotniczymi;</w:t>
      </w:r>
    </w:p>
    <w:p w14:paraId="36ECBBB1" w14:textId="77777777" w:rsidR="009302F6" w:rsidRPr="00021A5D" w:rsidRDefault="009302F6" w:rsidP="009302F6">
      <w:pPr>
        <w:pStyle w:val="PKTpunkt"/>
      </w:pPr>
      <w:r w:rsidRPr="00021A5D">
        <w:t>3</w:t>
      </w:r>
      <w:r>
        <w:t>4</w:t>
      </w:r>
      <w:r w:rsidRPr="00021A5D">
        <w:t>)</w:t>
      </w:r>
      <w:r w:rsidRPr="00021A5D">
        <w:tab/>
        <w:t>operator – każdy podmiot, w tym osobę fizyczną, zajmujący się eksploatacją statku powietrznego lub oferujący swoje usługi w tym zakresie;</w:t>
      </w:r>
    </w:p>
    <w:p w14:paraId="32E93D16" w14:textId="77777777" w:rsidR="009302F6" w:rsidRPr="00021A5D" w:rsidRDefault="009302F6" w:rsidP="009302F6">
      <w:pPr>
        <w:pStyle w:val="PKTpunkt"/>
      </w:pPr>
      <w:r w:rsidRPr="00021A5D">
        <w:t>3</w:t>
      </w:r>
      <w:r>
        <w:t>5</w:t>
      </w:r>
      <w:r w:rsidRPr="00021A5D">
        <w:t>)</w:t>
      </w:r>
      <w:r w:rsidRPr="00021A5D">
        <w:tab/>
        <w:t>P – (</w:t>
      </w:r>
      <w:proofErr w:type="spellStart"/>
      <w:r w:rsidRPr="00021A5D">
        <w:t>Prohibited</w:t>
      </w:r>
      <w:proofErr w:type="spellEnd"/>
      <w:r w:rsidRPr="00021A5D">
        <w:t xml:space="preserve"> </w:t>
      </w:r>
      <w:proofErr w:type="spellStart"/>
      <w:r w:rsidRPr="00021A5D">
        <w:t>Area</w:t>
      </w:r>
      <w:proofErr w:type="spellEnd"/>
      <w:r w:rsidRPr="00021A5D">
        <w:t>) strefę zakazaną, o której mowa w art. 2 pkt 103 rozporządzenia SERA;</w:t>
      </w:r>
    </w:p>
    <w:p w14:paraId="38D9374E" w14:textId="77777777" w:rsidR="009302F6" w:rsidRPr="00021A5D" w:rsidRDefault="009302F6" w:rsidP="009302F6">
      <w:pPr>
        <w:pStyle w:val="PKTpunkt"/>
      </w:pPr>
      <w:r w:rsidRPr="00021A5D">
        <w:t>3</w:t>
      </w:r>
      <w:r>
        <w:t>6</w:t>
      </w:r>
      <w:r w:rsidRPr="00021A5D">
        <w:t>)</w:t>
      </w:r>
      <w:r w:rsidRPr="00021A5D">
        <w:tab/>
        <w:t>Prezes Urzędu – Prezesa Urzędu Lotnictwa Cywilnego;</w:t>
      </w:r>
    </w:p>
    <w:p w14:paraId="002B7BAA" w14:textId="77777777" w:rsidR="009302F6" w:rsidRPr="00021A5D" w:rsidRDefault="009302F6" w:rsidP="009302F6">
      <w:pPr>
        <w:pStyle w:val="PKTpunkt"/>
      </w:pPr>
      <w:r w:rsidRPr="00021A5D">
        <w:t>3</w:t>
      </w:r>
      <w:r>
        <w:t>7</w:t>
      </w:r>
      <w:r w:rsidRPr="00021A5D">
        <w:t>)</w:t>
      </w:r>
      <w:r w:rsidRPr="00021A5D">
        <w:tab/>
        <w:t>R – (</w:t>
      </w:r>
      <w:proofErr w:type="spellStart"/>
      <w:r w:rsidRPr="00021A5D">
        <w:t>Restricted</w:t>
      </w:r>
      <w:proofErr w:type="spellEnd"/>
      <w:r w:rsidRPr="00021A5D">
        <w:t xml:space="preserve"> </w:t>
      </w:r>
      <w:proofErr w:type="spellStart"/>
      <w:r w:rsidRPr="00021A5D">
        <w:t>Area</w:t>
      </w:r>
      <w:proofErr w:type="spellEnd"/>
      <w:r w:rsidRPr="00021A5D">
        <w:t>) strefę ograniczoną, o której mowa w art. 2 pkt 111 rozporządzenia SERA;</w:t>
      </w:r>
    </w:p>
    <w:p w14:paraId="1F33D172" w14:textId="77777777" w:rsidR="009302F6" w:rsidRPr="00021A5D" w:rsidRDefault="009302F6" w:rsidP="009302F6">
      <w:pPr>
        <w:pStyle w:val="PKTpunkt"/>
      </w:pPr>
      <w:r w:rsidRPr="00021A5D">
        <w:t>3</w:t>
      </w:r>
      <w:r>
        <w:t>8</w:t>
      </w:r>
      <w:r w:rsidRPr="00021A5D">
        <w:t>)</w:t>
      </w:r>
      <w:r w:rsidRPr="00021A5D">
        <w:tab/>
        <w:t xml:space="preserve">RMZ – (Radio </w:t>
      </w:r>
      <w:proofErr w:type="spellStart"/>
      <w:r w:rsidRPr="00021A5D">
        <w:t>Mandatory</w:t>
      </w:r>
      <w:proofErr w:type="spellEnd"/>
      <w:r w:rsidRPr="00021A5D">
        <w:t xml:space="preserve"> Zone) strefę obowiązkowej łączności radiowej, o której mowa w art. 2 pkt 106 rozporządzenia SERA;</w:t>
      </w:r>
    </w:p>
    <w:p w14:paraId="21F6CE18" w14:textId="77777777" w:rsidR="009302F6" w:rsidRPr="009302F6" w:rsidRDefault="009302F6" w:rsidP="009302F6">
      <w:pPr>
        <w:pStyle w:val="PKTpunkt"/>
        <w:rPr>
          <w:lang w:val="en-US"/>
        </w:rPr>
      </w:pPr>
      <w:r w:rsidRPr="009302F6">
        <w:rPr>
          <w:lang w:val="en-US"/>
        </w:rPr>
        <w:t>39)</w:t>
      </w:r>
      <w:r w:rsidRPr="009302F6">
        <w:rPr>
          <w:lang w:val="en-US"/>
        </w:rPr>
        <w:tab/>
        <w:t xml:space="preserve">RVSM – (Reduced Vertical Separation Minimum) </w:t>
      </w:r>
      <w:proofErr w:type="spellStart"/>
      <w:r w:rsidRPr="009302F6">
        <w:rPr>
          <w:lang w:val="en-US"/>
        </w:rPr>
        <w:t>zredukowane</w:t>
      </w:r>
      <w:proofErr w:type="spellEnd"/>
      <w:r w:rsidRPr="009302F6">
        <w:rPr>
          <w:lang w:val="en-US"/>
        </w:rPr>
        <w:t xml:space="preserve"> minimum </w:t>
      </w:r>
      <w:proofErr w:type="spellStart"/>
      <w:r w:rsidRPr="009302F6">
        <w:rPr>
          <w:lang w:val="en-US"/>
        </w:rPr>
        <w:t>separacji</w:t>
      </w:r>
      <w:proofErr w:type="spellEnd"/>
      <w:r w:rsidRPr="009302F6">
        <w:rPr>
          <w:lang w:val="en-US"/>
        </w:rPr>
        <w:t xml:space="preserve"> </w:t>
      </w:r>
      <w:proofErr w:type="spellStart"/>
      <w:r w:rsidRPr="009302F6">
        <w:rPr>
          <w:lang w:val="en-US"/>
        </w:rPr>
        <w:t>pionowej</w:t>
      </w:r>
      <w:proofErr w:type="spellEnd"/>
      <w:r w:rsidRPr="009302F6">
        <w:rPr>
          <w:lang w:val="en-US"/>
        </w:rPr>
        <w:t>;</w:t>
      </w:r>
    </w:p>
    <w:p w14:paraId="144D421E" w14:textId="77777777" w:rsidR="009302F6" w:rsidRPr="00021A5D" w:rsidRDefault="009302F6" w:rsidP="009302F6">
      <w:pPr>
        <w:pStyle w:val="PKTpunkt"/>
      </w:pPr>
      <w:r>
        <w:t>40</w:t>
      </w:r>
      <w:r w:rsidRPr="00021A5D">
        <w:t>)</w:t>
      </w:r>
      <w:r w:rsidRPr="00021A5D">
        <w:tab/>
        <w:t>SAR – (</w:t>
      </w:r>
      <w:proofErr w:type="spellStart"/>
      <w:r w:rsidRPr="00021A5D">
        <w:t>Search</w:t>
      </w:r>
      <w:proofErr w:type="spellEnd"/>
      <w:r w:rsidRPr="00021A5D">
        <w:t xml:space="preserve"> and </w:t>
      </w:r>
      <w:proofErr w:type="spellStart"/>
      <w:r w:rsidRPr="00021A5D">
        <w:t>Rescue</w:t>
      </w:r>
      <w:proofErr w:type="spellEnd"/>
      <w:r w:rsidRPr="00021A5D">
        <w:t>) status lotu statku powietrznego wykonującego lot w akcji poszukiwawczo–ratowniczej;</w:t>
      </w:r>
    </w:p>
    <w:p w14:paraId="72EE32BE" w14:textId="77777777" w:rsidR="009302F6" w:rsidRPr="00021A5D" w:rsidRDefault="009302F6" w:rsidP="009302F6">
      <w:pPr>
        <w:pStyle w:val="PKTpunkt"/>
      </w:pPr>
      <w:r>
        <w:t>41</w:t>
      </w:r>
      <w:r w:rsidRPr="00021A5D">
        <w:t>)</w:t>
      </w:r>
      <w:r w:rsidRPr="00021A5D">
        <w:tab/>
        <w:t>SSRL SZ RP – wojskowy organ zarządzania ruchem lotniczym – Szefostwo Służby Ruchu Lotniczego Sił Zbrojnych Rzeczypospolitej Polskiej;</w:t>
      </w:r>
    </w:p>
    <w:p w14:paraId="371D858E" w14:textId="77777777" w:rsidR="009302F6" w:rsidRPr="00445F92" w:rsidRDefault="009302F6" w:rsidP="009302F6">
      <w:pPr>
        <w:pStyle w:val="PKTpunkt"/>
      </w:pPr>
      <w:r w:rsidRPr="00445F92">
        <w:t>42)</w:t>
      </w:r>
      <w:r w:rsidRPr="00445F92">
        <w:tab/>
        <w:t>STATE – status lotu państwowych i cywilnych statków powietrznych w misjach wojskowych, policyjnych, celnych lub Straży Granicznej;</w:t>
      </w:r>
    </w:p>
    <w:p w14:paraId="02996D09" w14:textId="77777777" w:rsidR="009302F6" w:rsidRPr="00021A5D" w:rsidRDefault="009302F6" w:rsidP="009302F6">
      <w:pPr>
        <w:pStyle w:val="PKTpunkt"/>
      </w:pPr>
      <w:r w:rsidRPr="00021A5D">
        <w:t>4</w:t>
      </w:r>
      <w:r>
        <w:t>3</w:t>
      </w:r>
      <w:r w:rsidRPr="00021A5D">
        <w:t>)</w:t>
      </w:r>
      <w:r w:rsidRPr="00021A5D">
        <w:tab/>
        <w:t xml:space="preserve">TFR – (TSA </w:t>
      </w:r>
      <w:proofErr w:type="spellStart"/>
      <w:r w:rsidRPr="00021A5D">
        <w:t>or</w:t>
      </w:r>
      <w:proofErr w:type="spellEnd"/>
      <w:r w:rsidRPr="00021A5D">
        <w:t xml:space="preserve"> TRA </w:t>
      </w:r>
      <w:proofErr w:type="spellStart"/>
      <w:r w:rsidRPr="00021A5D">
        <w:t>Feeding</w:t>
      </w:r>
      <w:proofErr w:type="spellEnd"/>
      <w:r w:rsidRPr="00021A5D">
        <w:t xml:space="preserve"> </w:t>
      </w:r>
      <w:proofErr w:type="spellStart"/>
      <w:r w:rsidRPr="00021A5D">
        <w:t>Route</w:t>
      </w:r>
      <w:proofErr w:type="spellEnd"/>
      <w:r w:rsidRPr="00021A5D">
        <w:t>) trasę lotniczą umożliwiającą lot do TSA albo TRA oraz przelot między tymi strefami;</w:t>
      </w:r>
    </w:p>
    <w:p w14:paraId="52F89A95" w14:textId="77777777" w:rsidR="009302F6" w:rsidRPr="00021A5D" w:rsidRDefault="009302F6" w:rsidP="009302F6">
      <w:pPr>
        <w:pStyle w:val="PKTpunkt"/>
      </w:pPr>
      <w:r w:rsidRPr="00021A5D">
        <w:t>4</w:t>
      </w:r>
      <w:r>
        <w:t>4</w:t>
      </w:r>
      <w:r w:rsidRPr="00021A5D">
        <w:t>)</w:t>
      </w:r>
      <w:r w:rsidRPr="00021A5D">
        <w:tab/>
        <w:t xml:space="preserve">TMA – (Terminal Control </w:t>
      </w:r>
      <w:proofErr w:type="spellStart"/>
      <w:r w:rsidRPr="00021A5D">
        <w:t>Area</w:t>
      </w:r>
      <w:proofErr w:type="spellEnd"/>
      <w:r w:rsidRPr="00021A5D">
        <w:t>) rejon kontrolowany lotnisk(a);</w:t>
      </w:r>
    </w:p>
    <w:p w14:paraId="264F1555" w14:textId="77777777" w:rsidR="009302F6" w:rsidRPr="00021A5D" w:rsidRDefault="009302F6" w:rsidP="009302F6">
      <w:pPr>
        <w:pStyle w:val="PKTpunkt"/>
      </w:pPr>
      <w:r w:rsidRPr="00021A5D">
        <w:t>4</w:t>
      </w:r>
      <w:r>
        <w:t>5</w:t>
      </w:r>
      <w:r w:rsidRPr="00021A5D">
        <w:t>)</w:t>
      </w:r>
      <w:r w:rsidRPr="00021A5D">
        <w:tab/>
        <w:t xml:space="preserve">TMZ – (Transponder </w:t>
      </w:r>
      <w:proofErr w:type="spellStart"/>
      <w:r w:rsidRPr="00021A5D">
        <w:t>Mandatory</w:t>
      </w:r>
      <w:proofErr w:type="spellEnd"/>
      <w:r w:rsidRPr="00021A5D">
        <w:t xml:space="preserve"> Zone) strefę obowiązkowego używania transpondera, o której mowa w art. 2 pkt 136 rozporządzenia SERA;</w:t>
      </w:r>
    </w:p>
    <w:p w14:paraId="42F22822" w14:textId="77777777" w:rsidR="009302F6" w:rsidRPr="009302F6" w:rsidRDefault="009302F6" w:rsidP="009302F6">
      <w:pPr>
        <w:pStyle w:val="PKTpunkt"/>
        <w:rPr>
          <w:lang w:val="en-US"/>
        </w:rPr>
      </w:pPr>
      <w:r w:rsidRPr="009302F6">
        <w:rPr>
          <w:lang w:val="en-US"/>
        </w:rPr>
        <w:lastRenderedPageBreak/>
        <w:t>46)</w:t>
      </w:r>
      <w:r w:rsidRPr="009302F6">
        <w:rPr>
          <w:lang w:val="en-US"/>
        </w:rPr>
        <w:tab/>
        <w:t xml:space="preserve">TRA – (Temporary Reserved Area) </w:t>
      </w:r>
      <w:proofErr w:type="spellStart"/>
      <w:r w:rsidRPr="009302F6">
        <w:rPr>
          <w:lang w:val="en-US"/>
        </w:rPr>
        <w:t>strefę</w:t>
      </w:r>
      <w:proofErr w:type="spellEnd"/>
      <w:r w:rsidRPr="009302F6">
        <w:rPr>
          <w:lang w:val="en-US"/>
        </w:rPr>
        <w:t xml:space="preserve"> </w:t>
      </w:r>
      <w:proofErr w:type="spellStart"/>
      <w:r w:rsidRPr="009302F6">
        <w:rPr>
          <w:lang w:val="en-US"/>
        </w:rPr>
        <w:t>czasowo</w:t>
      </w:r>
      <w:proofErr w:type="spellEnd"/>
      <w:r w:rsidRPr="009302F6">
        <w:rPr>
          <w:lang w:val="en-US"/>
        </w:rPr>
        <w:t xml:space="preserve"> </w:t>
      </w:r>
      <w:proofErr w:type="spellStart"/>
      <w:r w:rsidRPr="009302F6">
        <w:rPr>
          <w:lang w:val="en-US"/>
        </w:rPr>
        <w:t>rezerwowaną</w:t>
      </w:r>
      <w:proofErr w:type="spellEnd"/>
      <w:r w:rsidRPr="009302F6">
        <w:rPr>
          <w:lang w:val="en-US"/>
        </w:rPr>
        <w:t>;</w:t>
      </w:r>
    </w:p>
    <w:p w14:paraId="5EFA7A6A" w14:textId="77777777" w:rsidR="009302F6" w:rsidRPr="009302F6" w:rsidRDefault="009302F6" w:rsidP="009302F6">
      <w:pPr>
        <w:pStyle w:val="PKTpunkt"/>
        <w:rPr>
          <w:lang w:val="en-US"/>
        </w:rPr>
      </w:pPr>
      <w:r w:rsidRPr="009302F6">
        <w:rPr>
          <w:lang w:val="en-US"/>
        </w:rPr>
        <w:t>47)</w:t>
      </w:r>
      <w:r w:rsidRPr="009302F6">
        <w:rPr>
          <w:lang w:val="en-US"/>
        </w:rPr>
        <w:tab/>
        <w:t xml:space="preserve">TSA – (Temporary Segregated Area) </w:t>
      </w:r>
      <w:proofErr w:type="spellStart"/>
      <w:r w:rsidRPr="009302F6">
        <w:rPr>
          <w:lang w:val="en-US"/>
        </w:rPr>
        <w:t>strefę</w:t>
      </w:r>
      <w:proofErr w:type="spellEnd"/>
      <w:r w:rsidRPr="009302F6">
        <w:rPr>
          <w:lang w:val="en-US"/>
        </w:rPr>
        <w:t xml:space="preserve"> </w:t>
      </w:r>
      <w:proofErr w:type="spellStart"/>
      <w:r w:rsidRPr="009302F6">
        <w:rPr>
          <w:lang w:val="en-US"/>
        </w:rPr>
        <w:t>czasowo</w:t>
      </w:r>
      <w:proofErr w:type="spellEnd"/>
      <w:r w:rsidRPr="009302F6">
        <w:rPr>
          <w:lang w:val="en-US"/>
        </w:rPr>
        <w:t xml:space="preserve"> </w:t>
      </w:r>
      <w:proofErr w:type="spellStart"/>
      <w:r w:rsidRPr="009302F6">
        <w:rPr>
          <w:lang w:val="en-US"/>
        </w:rPr>
        <w:t>wydzieloną</w:t>
      </w:r>
      <w:proofErr w:type="spellEnd"/>
      <w:r w:rsidRPr="009302F6">
        <w:rPr>
          <w:lang w:val="en-US"/>
        </w:rPr>
        <w:t>;</w:t>
      </w:r>
    </w:p>
    <w:p w14:paraId="4A371B16" w14:textId="77777777" w:rsidR="009302F6" w:rsidRPr="009302F6" w:rsidRDefault="009302F6" w:rsidP="009302F6">
      <w:pPr>
        <w:pStyle w:val="PKTpunkt"/>
        <w:rPr>
          <w:lang w:val="en-US"/>
        </w:rPr>
      </w:pPr>
      <w:r w:rsidRPr="009302F6">
        <w:rPr>
          <w:lang w:val="en-US"/>
        </w:rPr>
        <w:t>48)</w:t>
      </w:r>
      <w:r w:rsidRPr="009302F6">
        <w:rPr>
          <w:lang w:val="en-US"/>
        </w:rPr>
        <w:tab/>
        <w:t xml:space="preserve">UTC – (Coordinated Universal Time) </w:t>
      </w:r>
      <w:proofErr w:type="spellStart"/>
      <w:r w:rsidRPr="009302F6">
        <w:rPr>
          <w:lang w:val="en-US"/>
        </w:rPr>
        <w:t>uniwersalny</w:t>
      </w:r>
      <w:proofErr w:type="spellEnd"/>
      <w:r w:rsidRPr="009302F6">
        <w:rPr>
          <w:lang w:val="en-US"/>
        </w:rPr>
        <w:t xml:space="preserve"> </w:t>
      </w:r>
      <w:proofErr w:type="spellStart"/>
      <w:r w:rsidRPr="009302F6">
        <w:rPr>
          <w:lang w:val="en-US"/>
        </w:rPr>
        <w:t>czas</w:t>
      </w:r>
      <w:proofErr w:type="spellEnd"/>
      <w:r w:rsidRPr="009302F6">
        <w:rPr>
          <w:lang w:val="en-US"/>
        </w:rPr>
        <w:t xml:space="preserve"> </w:t>
      </w:r>
      <w:proofErr w:type="spellStart"/>
      <w:r w:rsidRPr="009302F6">
        <w:rPr>
          <w:lang w:val="en-US"/>
        </w:rPr>
        <w:t>skoordynowany</w:t>
      </w:r>
      <w:proofErr w:type="spellEnd"/>
      <w:r w:rsidRPr="009302F6">
        <w:rPr>
          <w:lang w:val="en-US"/>
        </w:rPr>
        <w:t>;</w:t>
      </w:r>
    </w:p>
    <w:p w14:paraId="3F16E805" w14:textId="77777777" w:rsidR="009302F6" w:rsidRDefault="009302F6" w:rsidP="009302F6">
      <w:pPr>
        <w:pStyle w:val="PKTpunkt"/>
      </w:pPr>
      <w:r>
        <w:t>49</w:t>
      </w:r>
      <w:r w:rsidRPr="00021A5D">
        <w:t>)</w:t>
      </w:r>
      <w:r w:rsidRPr="00021A5D">
        <w:tab/>
        <w:t>UUP – (</w:t>
      </w:r>
      <w:proofErr w:type="spellStart"/>
      <w:r w:rsidRPr="00021A5D">
        <w:t>Updated</w:t>
      </w:r>
      <w:proofErr w:type="spellEnd"/>
      <w:r w:rsidRPr="00021A5D">
        <w:t xml:space="preserve"> </w:t>
      </w:r>
      <w:proofErr w:type="spellStart"/>
      <w:r w:rsidRPr="00021A5D">
        <w:t>Airspace</w:t>
      </w:r>
      <w:proofErr w:type="spellEnd"/>
      <w:r w:rsidRPr="00021A5D">
        <w:t xml:space="preserve"> </w:t>
      </w:r>
      <w:proofErr w:type="spellStart"/>
      <w:r w:rsidRPr="00021A5D">
        <w:t>Use</w:t>
      </w:r>
      <w:proofErr w:type="spellEnd"/>
      <w:r w:rsidRPr="00021A5D">
        <w:t xml:space="preserve"> Plan) zaktualizowany AUP o statusie NOTAM, wydawany przez AMC Polska w dniu operacji w celu aktualizacji informacji zawartych w AUP</w:t>
      </w:r>
      <w:r>
        <w:t>;</w:t>
      </w:r>
    </w:p>
    <w:p w14:paraId="6CCFD72A" w14:textId="157C3A58" w:rsidR="009302F6" w:rsidRDefault="009302F6" w:rsidP="009302F6">
      <w:pPr>
        <w:pStyle w:val="PKTpunkt"/>
      </w:pPr>
      <w:r>
        <w:t>50)</w:t>
      </w:r>
      <w:r>
        <w:tab/>
        <w:t xml:space="preserve">ustawa </w:t>
      </w:r>
      <w:r w:rsidRPr="001C2327">
        <w:t>–</w:t>
      </w:r>
      <w:r>
        <w:t xml:space="preserve"> ustawę z dnia 3 lipca 2002 r. </w:t>
      </w:r>
      <w:r w:rsidRPr="00134AF8">
        <w:t>–</w:t>
      </w:r>
      <w:r>
        <w:t xml:space="preserve"> Prawo lotnicze;</w:t>
      </w:r>
    </w:p>
    <w:p w14:paraId="7C7E4DCE" w14:textId="77777777" w:rsidR="009302F6" w:rsidRDefault="009302F6" w:rsidP="009302F6">
      <w:pPr>
        <w:pStyle w:val="PKTpunkt"/>
      </w:pPr>
      <w:r>
        <w:t>51)</w:t>
      </w:r>
      <w:r>
        <w:tab/>
      </w:r>
      <w:r w:rsidRPr="00021A5D">
        <w:t xml:space="preserve">użytkownik – podmiot uprawniony do zamawiania </w:t>
      </w:r>
      <w:r>
        <w:t xml:space="preserve">i korzystania z </w:t>
      </w:r>
      <w:r w:rsidRPr="00021A5D">
        <w:t xml:space="preserve">MRT, TSA, TRA, CBA, TFR lub poszczególnych ich segmentów oraz </w:t>
      </w:r>
      <w:r>
        <w:t xml:space="preserve">podmiot kierujący </w:t>
      </w:r>
      <w:r w:rsidRPr="00021A5D">
        <w:t>operacj</w:t>
      </w:r>
      <w:r>
        <w:t>ami</w:t>
      </w:r>
      <w:r w:rsidRPr="00021A5D">
        <w:t xml:space="preserve"> lotnicz</w:t>
      </w:r>
      <w:r>
        <w:t>ymi</w:t>
      </w:r>
      <w:r w:rsidRPr="00021A5D">
        <w:t xml:space="preserve"> w zarezerwowanej części przestrzeni.</w:t>
      </w:r>
    </w:p>
    <w:p w14:paraId="147BD93D" w14:textId="77777777" w:rsidR="009302F6" w:rsidRPr="00A34FA6" w:rsidRDefault="009302F6" w:rsidP="009302F6">
      <w:pPr>
        <w:pStyle w:val="ARTartustawynprozporzdzenia"/>
      </w:pPr>
      <w:r w:rsidRPr="00871B15">
        <w:rPr>
          <w:rStyle w:val="Ppogrubienie"/>
        </w:rPr>
        <w:t>§ 3.</w:t>
      </w:r>
      <w:r w:rsidRPr="00A34FA6">
        <w:t> 1. Przepisy rozporządzenia stosuje się do polskiej przestrzeni powietrznej oraz FIR Warszawa.</w:t>
      </w:r>
    </w:p>
    <w:p w14:paraId="6E49C74F" w14:textId="77777777" w:rsidR="009302F6" w:rsidRPr="00A34FA6" w:rsidRDefault="009302F6" w:rsidP="009302F6">
      <w:pPr>
        <w:pStyle w:val="USTustnpkodeksu"/>
      </w:pPr>
      <w:r w:rsidRPr="00A34FA6">
        <w:t xml:space="preserve">2. FIR Warszawa obejmuje przestrzeń powietrzną nad terytorium </w:t>
      </w:r>
      <w:r w:rsidRPr="00094FF1">
        <w:t>Rzeczypospolitej</w:t>
      </w:r>
      <w:r w:rsidRPr="00A34FA6">
        <w:t xml:space="preserve"> Polskiej oraz część przestrzeni powietrznej przydzielonej przez ICAO nad Morzem Bałtyckim, która jest wyznaczona linią łączącą punkty o następujących współrzędnych geograficznych:</w:t>
      </w:r>
    </w:p>
    <w:p w14:paraId="1F700CD9" w14:textId="77777777" w:rsidR="009302F6" w:rsidRPr="00A34FA6" w:rsidRDefault="009302F6" w:rsidP="009302F6">
      <w:pPr>
        <w:pStyle w:val="PKTpunkt"/>
      </w:pPr>
      <w:r w:rsidRPr="00A34FA6">
        <w:t>1)</w:t>
      </w:r>
      <w:r w:rsidRPr="00A34FA6">
        <w:tab/>
        <w:t>54°27'28,03"N 019°38'24,05"E – miejsce styku polsko–rosyjskiej granicy państwowej na lądzie z brzegiem Morza Bałtyckiego</w:t>
      </w:r>
      <w:r>
        <w:t>,</w:t>
      </w:r>
    </w:p>
    <w:p w14:paraId="28A9B115" w14:textId="77777777" w:rsidR="009302F6" w:rsidRPr="009302F6" w:rsidRDefault="009302F6" w:rsidP="009302F6">
      <w:pPr>
        <w:pStyle w:val="PKTpunkt"/>
        <w:rPr>
          <w:lang w:val="en-US"/>
        </w:rPr>
      </w:pPr>
      <w:r w:rsidRPr="009302F6">
        <w:rPr>
          <w:lang w:val="en-US"/>
        </w:rPr>
        <w:t>2)</w:t>
      </w:r>
      <w:r w:rsidRPr="009302F6">
        <w:rPr>
          <w:lang w:val="en-US"/>
        </w:rPr>
        <w:tab/>
        <w:t>54°36'14,03"N 019°24'15,02"E,</w:t>
      </w:r>
    </w:p>
    <w:p w14:paraId="10FB3AB7" w14:textId="77777777" w:rsidR="009302F6" w:rsidRPr="009302F6" w:rsidRDefault="009302F6" w:rsidP="009302F6">
      <w:pPr>
        <w:pStyle w:val="PKTpunkt"/>
        <w:rPr>
          <w:lang w:val="en-US"/>
        </w:rPr>
      </w:pPr>
      <w:r w:rsidRPr="009302F6">
        <w:rPr>
          <w:lang w:val="en-US"/>
        </w:rPr>
        <w:t>3)</w:t>
      </w:r>
      <w:r w:rsidRPr="009302F6">
        <w:rPr>
          <w:lang w:val="en-US"/>
        </w:rPr>
        <w:tab/>
        <w:t>55°51'00"N 017°33'00"E,</w:t>
      </w:r>
    </w:p>
    <w:p w14:paraId="110827EB" w14:textId="77777777" w:rsidR="009302F6" w:rsidRPr="009302F6" w:rsidRDefault="009302F6" w:rsidP="009302F6">
      <w:pPr>
        <w:pStyle w:val="PKTpunkt"/>
        <w:rPr>
          <w:lang w:val="en-US"/>
        </w:rPr>
      </w:pPr>
      <w:r w:rsidRPr="009302F6">
        <w:rPr>
          <w:lang w:val="en-US"/>
        </w:rPr>
        <w:t>4)</w:t>
      </w:r>
      <w:r w:rsidRPr="009302F6">
        <w:rPr>
          <w:lang w:val="en-US"/>
        </w:rPr>
        <w:tab/>
        <w:t>54°55'00"N 015°52'00"E,</w:t>
      </w:r>
    </w:p>
    <w:p w14:paraId="00F02702" w14:textId="77777777" w:rsidR="009302F6" w:rsidRPr="00A34FA6" w:rsidRDefault="009302F6" w:rsidP="009302F6">
      <w:pPr>
        <w:pStyle w:val="PKTpunkt"/>
      </w:pPr>
      <w:r w:rsidRPr="00A34FA6">
        <w:t>5)</w:t>
      </w:r>
      <w:r w:rsidRPr="00A34FA6">
        <w:tab/>
        <w:t xml:space="preserve">54°55'00,00"N 015°08'07,00"E – od tego punktu łuk koła o promieniu 30 km zakreślonego z ARP </w:t>
      </w:r>
      <w:proofErr w:type="spellStart"/>
      <w:r w:rsidRPr="00A34FA6">
        <w:t>Röne</w:t>
      </w:r>
      <w:proofErr w:type="spellEnd"/>
      <w:r w:rsidRPr="00A34FA6">
        <w:t xml:space="preserve"> (55°04'04"N 014°44'48"E) do punktu</w:t>
      </w:r>
      <w:r>
        <w:t xml:space="preserve"> określonego</w:t>
      </w:r>
      <w:r w:rsidRPr="00A34FA6">
        <w:t xml:space="preserve"> w pkt 6</w:t>
      </w:r>
      <w:r>
        <w:t>,</w:t>
      </w:r>
    </w:p>
    <w:p w14:paraId="181539E4" w14:textId="77777777" w:rsidR="009302F6" w:rsidRPr="009302F6" w:rsidRDefault="009302F6" w:rsidP="009302F6">
      <w:pPr>
        <w:pStyle w:val="PKTpunkt"/>
        <w:rPr>
          <w:lang w:val="en-US"/>
        </w:rPr>
      </w:pPr>
      <w:r w:rsidRPr="009302F6">
        <w:rPr>
          <w:lang w:val="en-US"/>
        </w:rPr>
        <w:t>6)</w:t>
      </w:r>
      <w:r w:rsidRPr="009302F6">
        <w:rPr>
          <w:lang w:val="en-US"/>
        </w:rPr>
        <w:tab/>
        <w:t>54°55'00"N 014°21'27"E,</w:t>
      </w:r>
    </w:p>
    <w:p w14:paraId="015AA238" w14:textId="77777777" w:rsidR="009302F6" w:rsidRPr="009302F6" w:rsidRDefault="009302F6" w:rsidP="009302F6">
      <w:pPr>
        <w:pStyle w:val="PKTpunkt"/>
        <w:rPr>
          <w:lang w:val="en-US"/>
        </w:rPr>
      </w:pPr>
      <w:r w:rsidRPr="009302F6">
        <w:rPr>
          <w:lang w:val="en-US"/>
        </w:rPr>
        <w:t>7)</w:t>
      </w:r>
      <w:r w:rsidRPr="009302F6">
        <w:rPr>
          <w:lang w:val="en-US"/>
        </w:rPr>
        <w:tab/>
        <w:t>54°07'38"N 014°15'17"E,</w:t>
      </w:r>
    </w:p>
    <w:p w14:paraId="0D0DFAC7" w14:textId="77777777" w:rsidR="009302F6" w:rsidRPr="009302F6" w:rsidRDefault="009302F6" w:rsidP="009302F6">
      <w:pPr>
        <w:pStyle w:val="PKTpunkt"/>
        <w:rPr>
          <w:lang w:val="en-US"/>
        </w:rPr>
      </w:pPr>
      <w:r w:rsidRPr="009302F6">
        <w:rPr>
          <w:lang w:val="en-US"/>
        </w:rPr>
        <w:t>8)</w:t>
      </w:r>
      <w:r w:rsidRPr="009302F6">
        <w:rPr>
          <w:lang w:val="en-US"/>
        </w:rPr>
        <w:tab/>
        <w:t>54°07'34"N 014°12'05"E,</w:t>
      </w:r>
    </w:p>
    <w:p w14:paraId="6C5A5781" w14:textId="77777777" w:rsidR="009302F6" w:rsidRPr="00A34FA6" w:rsidRDefault="009302F6" w:rsidP="009302F6">
      <w:pPr>
        <w:pStyle w:val="PKTpunkt"/>
      </w:pPr>
      <w:r w:rsidRPr="00A34FA6">
        <w:t>9)</w:t>
      </w:r>
      <w:r w:rsidRPr="00A34FA6">
        <w:tab/>
        <w:t>53°59'16"N 014°14'32"E</w:t>
      </w:r>
      <w:r>
        <w:t>,</w:t>
      </w:r>
    </w:p>
    <w:p w14:paraId="60DBEE31" w14:textId="77777777" w:rsidR="009302F6" w:rsidRPr="00A34FA6" w:rsidRDefault="009302F6" w:rsidP="009302F6">
      <w:pPr>
        <w:pStyle w:val="PKTpunkt"/>
      </w:pPr>
      <w:r w:rsidRPr="00A34FA6">
        <w:t>10)</w:t>
      </w:r>
      <w:r w:rsidRPr="00A34FA6">
        <w:tab/>
        <w:t>53°55'40"N 014°13'34"E – miejsce styku polsko–niemieckiej granicy państwowej na lądzie z brzegiem Morza Bałtyckiego</w:t>
      </w:r>
    </w:p>
    <w:p w14:paraId="704DB13A" w14:textId="77777777" w:rsidR="009302F6" w:rsidRPr="00A34FA6" w:rsidRDefault="009302F6" w:rsidP="009302F6">
      <w:pPr>
        <w:pStyle w:val="CZWSPPKTczwsplnapunktw"/>
      </w:pPr>
      <w:r w:rsidRPr="00A34FA6">
        <w:t>– dalej wzdłuż linii stanowiącej lądową granicę państwową Rzeczypospolitej Polskiej.</w:t>
      </w:r>
    </w:p>
    <w:p w14:paraId="6F94FFB2" w14:textId="77777777" w:rsidR="009302F6" w:rsidRPr="00A34FA6" w:rsidRDefault="009302F6" w:rsidP="009302F6">
      <w:pPr>
        <w:pStyle w:val="USTustnpkodeksu"/>
      </w:pPr>
      <w:r w:rsidRPr="00A34FA6">
        <w:t>3. Granicę pionową FIR Warszawa wyznacza się od powierzchni ziemi lub wody do FL 660.</w:t>
      </w:r>
    </w:p>
    <w:p w14:paraId="422232CB" w14:textId="77777777" w:rsidR="009302F6" w:rsidRDefault="009302F6" w:rsidP="009302F6">
      <w:pPr>
        <w:pStyle w:val="USTustnpkodeksu"/>
      </w:pPr>
      <w:r w:rsidRPr="00A34FA6">
        <w:lastRenderedPageBreak/>
        <w:t>4. W przestrzeni powietrznej FIR Warszawa osłona meteorologiczna lotnictwa cywilnego jest zapewniana od powierzchni ziemi lub wody do FL 530.</w:t>
      </w:r>
    </w:p>
    <w:p w14:paraId="35037B93" w14:textId="77777777" w:rsidR="009302F6" w:rsidRPr="00E6327D" w:rsidRDefault="009302F6" w:rsidP="009302F6">
      <w:pPr>
        <w:pStyle w:val="ROZDZODDZOZNoznaczenierozdziauluboddziau"/>
      </w:pPr>
      <w:r w:rsidRPr="00E6327D">
        <w:t xml:space="preserve">Rozdział 2 </w:t>
      </w:r>
    </w:p>
    <w:p w14:paraId="61A88A78" w14:textId="77777777" w:rsidR="009302F6" w:rsidRDefault="009302F6" w:rsidP="009302F6">
      <w:pPr>
        <w:pStyle w:val="ROZDZODDZPRZEDMprzedmiotregulacjirozdziauluboddziau"/>
      </w:pPr>
      <w:r w:rsidRPr="00E6327D">
        <w:t>Struktura przestrzeni powietrznej dostępnej dla żeglugi powietrznej</w:t>
      </w:r>
    </w:p>
    <w:p w14:paraId="19D51628" w14:textId="77777777" w:rsidR="009302F6" w:rsidRPr="00E6327D" w:rsidRDefault="009302F6" w:rsidP="009302F6">
      <w:pPr>
        <w:pStyle w:val="ARTartustawynprozporzdzenia"/>
      </w:pPr>
      <w:r w:rsidRPr="00871B15">
        <w:rPr>
          <w:rStyle w:val="Ppogrubienie"/>
        </w:rPr>
        <w:t>§ 4.</w:t>
      </w:r>
      <w:r w:rsidRPr="00E6327D">
        <w:t> 1. W skład przestrzeni powietrznej kontrolowanej stanowiącej część przestrzeni, w której wszystkim statkom powietrznym zapewnia się służbę ATC, zgodnie z klasyfikacją ICAO, wchodzą:</w:t>
      </w:r>
    </w:p>
    <w:p w14:paraId="1EBFB9FA" w14:textId="77777777" w:rsidR="009302F6" w:rsidRPr="00E6327D" w:rsidRDefault="009302F6" w:rsidP="009302F6">
      <w:pPr>
        <w:pStyle w:val="PKTpunkt"/>
      </w:pPr>
      <w:r w:rsidRPr="00E6327D">
        <w:t>1)</w:t>
      </w:r>
      <w:r w:rsidRPr="00E6327D">
        <w:tab/>
        <w:t>CTA obejmujący:</w:t>
      </w:r>
    </w:p>
    <w:p w14:paraId="3C4E5D33" w14:textId="77777777" w:rsidR="009302F6" w:rsidRPr="00E6327D" w:rsidRDefault="009302F6" w:rsidP="009302F6">
      <w:pPr>
        <w:pStyle w:val="LITlitera"/>
      </w:pPr>
      <w:r w:rsidRPr="00E6327D">
        <w:t>a)</w:t>
      </w:r>
      <w:r w:rsidRPr="00E6327D">
        <w:tab/>
        <w:t>TMA oraz MTMA – ustanawiane zwykle u zbiegu tras ATS w pobliżu jednego lotniska lub kilku lotnisk,</w:t>
      </w:r>
    </w:p>
    <w:p w14:paraId="255A3BE7" w14:textId="77777777" w:rsidR="009302F6" w:rsidRPr="00E6327D" w:rsidRDefault="009302F6" w:rsidP="009302F6">
      <w:pPr>
        <w:pStyle w:val="LITlitera"/>
      </w:pPr>
      <w:r w:rsidRPr="00E6327D">
        <w:t>b)</w:t>
      </w:r>
      <w:r w:rsidRPr="00E6327D">
        <w:tab/>
        <w:t>AWY,</w:t>
      </w:r>
    </w:p>
    <w:p w14:paraId="11B8E69C" w14:textId="77777777" w:rsidR="009302F6" w:rsidRPr="00E6327D" w:rsidRDefault="009302F6" w:rsidP="009302F6">
      <w:pPr>
        <w:pStyle w:val="LITlitera"/>
      </w:pPr>
      <w:r w:rsidRPr="00E6327D">
        <w:t>c)</w:t>
      </w:r>
      <w:r w:rsidRPr="00E6327D">
        <w:tab/>
        <w:t>CDR,</w:t>
      </w:r>
    </w:p>
    <w:p w14:paraId="7D73B267" w14:textId="77777777" w:rsidR="009302F6" w:rsidRPr="00E6327D" w:rsidRDefault="009302F6" w:rsidP="009302F6">
      <w:pPr>
        <w:pStyle w:val="LITlitera"/>
      </w:pPr>
      <w:r w:rsidRPr="00E6327D">
        <w:t>d)</w:t>
      </w:r>
      <w:r w:rsidRPr="00E6327D">
        <w:tab/>
        <w:t>przestrzeń powietrzną rozciągającą się od poziomu FL 095 do poziomu FL 660, z wyjątkiem rejonów i stref, o których mowa w § 5 ust. 1 pkt 4;</w:t>
      </w:r>
    </w:p>
    <w:p w14:paraId="5A902169" w14:textId="77777777" w:rsidR="009302F6" w:rsidRPr="00E6327D" w:rsidRDefault="009302F6" w:rsidP="009302F6">
      <w:pPr>
        <w:pStyle w:val="PKTpunkt"/>
      </w:pPr>
      <w:r w:rsidRPr="00E6327D">
        <w:t>2)</w:t>
      </w:r>
      <w:r w:rsidRPr="00E6327D">
        <w:tab/>
        <w:t xml:space="preserve">CTR oraz MCTR – </w:t>
      </w:r>
      <w:r>
        <w:t>zabezpieczające</w:t>
      </w:r>
      <w:r w:rsidRPr="00E6327D">
        <w:t xml:space="preserve"> manewr podejścia do lądowania, startu i nabrania wysokości;</w:t>
      </w:r>
    </w:p>
    <w:p w14:paraId="665EAD0E" w14:textId="77777777" w:rsidR="009302F6" w:rsidRPr="00E6327D" w:rsidRDefault="009302F6" w:rsidP="009302F6">
      <w:pPr>
        <w:pStyle w:val="PKTpunkt"/>
      </w:pPr>
      <w:r w:rsidRPr="00E6327D">
        <w:t>3)</w:t>
      </w:r>
      <w:r w:rsidRPr="00E6327D">
        <w:tab/>
        <w:t>TRA i CBA – dla których określono klasę przestrzeni powietrznej właściwą dla przestrzeni kontrolowanej.</w:t>
      </w:r>
    </w:p>
    <w:p w14:paraId="5921F236" w14:textId="77777777" w:rsidR="009302F6" w:rsidRPr="00E6327D" w:rsidRDefault="009302F6" w:rsidP="009302F6">
      <w:pPr>
        <w:pStyle w:val="USTustnpkodeksu"/>
      </w:pPr>
      <w:r w:rsidRPr="00E6327D">
        <w:t>2. CDR może być ustanowiona w jednej lub więcej spośród następujących kategorii:</w:t>
      </w:r>
    </w:p>
    <w:p w14:paraId="0655F2B0" w14:textId="77777777" w:rsidR="009302F6" w:rsidRPr="00E6327D" w:rsidRDefault="009302F6" w:rsidP="009302F6">
      <w:pPr>
        <w:pStyle w:val="PKTpunkt"/>
      </w:pPr>
      <w:r w:rsidRPr="00E6327D">
        <w:t>1)</w:t>
      </w:r>
      <w:r w:rsidRPr="00E6327D">
        <w:tab/>
        <w:t xml:space="preserve">kategoria pierwsza (CDR 1) – warunkowa droga lotnicza kategorii pierwszej możliwa do planowania stałego i dostępna w okresach podanych w </w:t>
      </w:r>
      <w:r w:rsidRPr="00486083">
        <w:t xml:space="preserve">Zintegrowanym Pakiecie </w:t>
      </w:r>
      <w:r>
        <w:t xml:space="preserve">Informacji Lotniczych, w części </w:t>
      </w:r>
      <w:r w:rsidRPr="00486083">
        <w:t>Zbiór Informacji Lotniczych</w:t>
      </w:r>
      <w:r>
        <w:t xml:space="preserve"> (</w:t>
      </w:r>
      <w:r w:rsidRPr="00E6327D">
        <w:t>AIP Polska</w:t>
      </w:r>
      <w:r>
        <w:t>)</w:t>
      </w:r>
      <w:r w:rsidRPr="00E6327D">
        <w:t>;</w:t>
      </w:r>
    </w:p>
    <w:p w14:paraId="2A4C0116" w14:textId="77777777" w:rsidR="009302F6" w:rsidRPr="00E6327D" w:rsidRDefault="009302F6" w:rsidP="009302F6">
      <w:pPr>
        <w:pStyle w:val="PKTpunkt"/>
      </w:pPr>
      <w:r w:rsidRPr="00E6327D">
        <w:t>2)</w:t>
      </w:r>
      <w:r w:rsidRPr="00E6327D">
        <w:tab/>
        <w:t>kategoria druga (CDR 2) – warunkowa droga lotnicza kategorii drugiej możliwa do planowania w okresach podanych w AUP;</w:t>
      </w:r>
    </w:p>
    <w:p w14:paraId="40D276D8" w14:textId="77777777" w:rsidR="009302F6" w:rsidRPr="00E6327D" w:rsidRDefault="009302F6" w:rsidP="009302F6">
      <w:pPr>
        <w:pStyle w:val="PKTpunkt"/>
      </w:pPr>
      <w:r w:rsidRPr="00E6327D">
        <w:t>3)</w:t>
      </w:r>
      <w:r w:rsidRPr="00E6327D">
        <w:tab/>
        <w:t xml:space="preserve">kategoria trzecia (CDR 3) – warunkowa droga lotnicza kategorii trzeciej niemożliwa do planowania, która może być </w:t>
      </w:r>
      <w:r>
        <w:t>wykorzystywana</w:t>
      </w:r>
      <w:r w:rsidRPr="00E6327D">
        <w:t xml:space="preserve"> tylko według instrukcji organów kontroli ruchu lotniczego.</w:t>
      </w:r>
    </w:p>
    <w:p w14:paraId="65260BBE" w14:textId="77777777" w:rsidR="009302F6" w:rsidRPr="00E6327D" w:rsidRDefault="009302F6" w:rsidP="009302F6">
      <w:pPr>
        <w:pStyle w:val="USTustnpkodeksu"/>
      </w:pPr>
      <w:r w:rsidRPr="00E6327D">
        <w:t>3. Kategorie dla poszczególnych warunkowych dróg lotniczych przydziela Instytucja.</w:t>
      </w:r>
    </w:p>
    <w:p w14:paraId="7F9D589A" w14:textId="77777777" w:rsidR="009302F6" w:rsidRPr="00E6327D" w:rsidRDefault="009302F6" w:rsidP="009302F6">
      <w:pPr>
        <w:pStyle w:val="USTustnpkodeksu"/>
      </w:pPr>
      <w:r w:rsidRPr="00E6327D">
        <w:t>4. Projekty AWY, CDR, CTA, CTR, MCTR, TMA lub MTMA są opracowywane przez Instytucję i przedkładane do akceptacji Prezesowi Urzędu.</w:t>
      </w:r>
    </w:p>
    <w:p w14:paraId="525D1151" w14:textId="77777777" w:rsidR="009302F6" w:rsidRPr="00E6327D" w:rsidRDefault="009302F6" w:rsidP="009302F6">
      <w:pPr>
        <w:pStyle w:val="USTustnpkodeksu"/>
      </w:pPr>
      <w:r w:rsidRPr="00E6327D">
        <w:lastRenderedPageBreak/>
        <w:t>5. W przypadku zawieszenia lub zakończenia zapewniania służb ATC w TMA lub MTMA albo w CTR lub MCTR, rejon ten albo ta strefa ulega likwidacji, a jej przestrzeń przyjmuje klasę przestrzeni powietrznej odpowiednią do zapewnianej ATS.</w:t>
      </w:r>
    </w:p>
    <w:p w14:paraId="576E368D" w14:textId="77777777" w:rsidR="009302F6" w:rsidRPr="00E6327D" w:rsidRDefault="009302F6" w:rsidP="009302F6">
      <w:pPr>
        <w:pStyle w:val="ARTartustawynprozporzdzenia"/>
      </w:pPr>
      <w:r w:rsidRPr="00871B15">
        <w:rPr>
          <w:rStyle w:val="Ppogrubienie"/>
        </w:rPr>
        <w:t>§ 5.</w:t>
      </w:r>
      <w:r w:rsidRPr="00E6327D">
        <w:t xml:space="preserve"> 1. W skład przestrzeni powietrznej </w:t>
      </w:r>
      <w:r w:rsidRPr="00094FF1">
        <w:t>niekontrolowanej</w:t>
      </w:r>
      <w:r w:rsidRPr="00E6327D">
        <w:t xml:space="preserve"> wchodzi:</w:t>
      </w:r>
    </w:p>
    <w:p w14:paraId="3A2FAF2B" w14:textId="77777777" w:rsidR="009302F6" w:rsidRPr="00E6327D" w:rsidRDefault="009302F6" w:rsidP="009302F6">
      <w:pPr>
        <w:pStyle w:val="PKTpunkt"/>
      </w:pPr>
      <w:r w:rsidRPr="00E6327D">
        <w:t>1)</w:t>
      </w:r>
      <w:r w:rsidRPr="00E6327D">
        <w:tab/>
        <w:t>przestrzeń powietrzna dostępna dla żeglugi powietrznej inna niż określona w § 4 ust. 1;</w:t>
      </w:r>
    </w:p>
    <w:p w14:paraId="525FC655" w14:textId="77777777" w:rsidR="009302F6" w:rsidRPr="00E6327D" w:rsidRDefault="009302F6" w:rsidP="009302F6">
      <w:pPr>
        <w:pStyle w:val="PKTpunkt"/>
      </w:pPr>
      <w:r w:rsidRPr="00E6327D">
        <w:t>2)</w:t>
      </w:r>
      <w:r w:rsidRPr="00E6327D">
        <w:tab/>
        <w:t>ATZ stanowiąca przestrzeń powietrzną nad cywilnym lotniskiem niekontrolowanym i przylegającym terenem niezbędnym do wykonania procedur startów i lądowań oraz zadań szkoleniowych – dla których określono klasę przestrzeni właściwą dla przestrzeni niekontrolowanej;</w:t>
      </w:r>
    </w:p>
    <w:p w14:paraId="3F48902F" w14:textId="77777777" w:rsidR="009302F6" w:rsidRPr="00E6327D" w:rsidRDefault="009302F6" w:rsidP="009302F6">
      <w:pPr>
        <w:pStyle w:val="PKTpunkt"/>
      </w:pPr>
      <w:r w:rsidRPr="00E6327D">
        <w:t>3)</w:t>
      </w:r>
      <w:r w:rsidRPr="00E6327D">
        <w:tab/>
        <w:t>MATZ stanowiąca przestrzeń powietrzną nad wojskowym lotniskiem niekontrolowanym i przylegającym terenem niezbędnym do wykonania procedur startów i lądowań oraz zadań szkoleniowych – dla których określono klasę przestrzeni właściwą dla przestrzeni niekontrolowanej lub nie została ona sklasyfikowana;</w:t>
      </w:r>
    </w:p>
    <w:p w14:paraId="5DD024BA" w14:textId="77777777" w:rsidR="009302F6" w:rsidRPr="00E6327D" w:rsidRDefault="009302F6" w:rsidP="009302F6">
      <w:pPr>
        <w:pStyle w:val="PKTpunkt"/>
      </w:pPr>
      <w:r w:rsidRPr="00E6327D">
        <w:t>4)</w:t>
      </w:r>
      <w:r w:rsidRPr="00E6327D">
        <w:tab/>
        <w:t>TSA, TRA</w:t>
      </w:r>
      <w:r>
        <w:t>, TFR, MRT</w:t>
      </w:r>
      <w:r w:rsidRPr="00E6327D">
        <w:t xml:space="preserve"> oraz CBA – dla których określono klasę przestrzeni powietrznej właściwą dla przestrzeni niekontrolowanej lub nie zostały one sklasyfikowane.</w:t>
      </w:r>
    </w:p>
    <w:p w14:paraId="151DE29E" w14:textId="77777777" w:rsidR="009302F6" w:rsidRPr="00E6327D" w:rsidRDefault="009302F6" w:rsidP="009302F6">
      <w:pPr>
        <w:pStyle w:val="USTustnpkodeksu"/>
      </w:pPr>
      <w:r w:rsidRPr="00E6327D">
        <w:t>2. Projekty ATZ lub MATZ są opracowywane przez Instytucję i przedkładane do akceptacji Prezesowi Urzędu.</w:t>
      </w:r>
    </w:p>
    <w:p w14:paraId="368B8238" w14:textId="77777777" w:rsidR="009302F6" w:rsidRPr="00E6327D" w:rsidRDefault="009302F6" w:rsidP="009302F6">
      <w:pPr>
        <w:pStyle w:val="USTustnpkodeksu"/>
      </w:pPr>
      <w:r w:rsidRPr="00E6327D">
        <w:t>3. Dopuszcza się utworzenie ATZ lub MATZ w geograficznych granicach odpowiedniej CTR lub MCTR, w której zawieszono lub zakończono zapewnianie służby kontroli ruchu lotniczego. Przepi</w:t>
      </w:r>
      <w:r w:rsidR="005534BE">
        <w:t>s ust. 2 stosuje się</w:t>
      </w:r>
      <w:r w:rsidRPr="00E6327D">
        <w:t>.</w:t>
      </w:r>
    </w:p>
    <w:p w14:paraId="210F6860" w14:textId="77777777" w:rsidR="009302F6" w:rsidRPr="00E6327D" w:rsidRDefault="009302F6" w:rsidP="009302F6">
      <w:pPr>
        <w:pStyle w:val="USTustnpkodeksu"/>
      </w:pPr>
      <w:r w:rsidRPr="00E6327D">
        <w:t>4. W przypadku zawieszenia lub zakończenia zapewniania ATS w MATZ, strefa ta ulega dezaktywacji, a jej przestrzeń przyjmuje klasę przestrzeni powietrznej odpowiednią do zapewnianej ATS.</w:t>
      </w:r>
    </w:p>
    <w:p w14:paraId="6723F008" w14:textId="77777777" w:rsidR="009302F6" w:rsidRPr="00297A42" w:rsidRDefault="009302F6" w:rsidP="009302F6">
      <w:pPr>
        <w:pStyle w:val="ARTartustawynprozporzdzenia"/>
      </w:pPr>
      <w:r w:rsidRPr="00871B15">
        <w:rPr>
          <w:rStyle w:val="Ppogrubienie"/>
        </w:rPr>
        <w:t>§ 6.</w:t>
      </w:r>
      <w:r w:rsidRPr="00E6327D">
        <w:t xml:space="preserve"> </w:t>
      </w:r>
      <w:r>
        <w:t xml:space="preserve">1. </w:t>
      </w:r>
      <w:r w:rsidRPr="00297A42">
        <w:t>Z przestrzeni powietrznej przydzielonej dla CTR może zostać wydzielona</w:t>
      </w:r>
      <w:r w:rsidRPr="00F607AA">
        <w:t xml:space="preserve"> przez Instytucję</w:t>
      </w:r>
      <w:r>
        <w:t>,</w:t>
      </w:r>
      <w:r w:rsidRPr="00297A42">
        <w:t xml:space="preserve"> </w:t>
      </w:r>
      <w:r w:rsidRPr="00F607AA">
        <w:t>na czas dłuższy niż 3 miesiące</w:t>
      </w:r>
      <w:r>
        <w:t>,</w:t>
      </w:r>
      <w:r w:rsidRPr="00F607AA">
        <w:t xml:space="preserve"> </w:t>
      </w:r>
      <w:r w:rsidRPr="00297A42">
        <w:t>przestrzeń powietrzna do wykonywania operacji bezzałogowym statkiem powietrznym.</w:t>
      </w:r>
    </w:p>
    <w:p w14:paraId="68BC55D8" w14:textId="77777777" w:rsidR="009302F6" w:rsidRPr="00E6327D" w:rsidRDefault="009302F6" w:rsidP="009302F6">
      <w:pPr>
        <w:pStyle w:val="USTustnpkodeksu"/>
      </w:pPr>
      <w:r w:rsidRPr="00297A42">
        <w:t xml:space="preserve">2. Projekt przestrzeni powietrznej </w:t>
      </w:r>
      <w:r w:rsidRPr="00E15DA0">
        <w:t xml:space="preserve">wydzielonej do wykonywania operacji bezzałogowym statkiem powietrznym </w:t>
      </w:r>
      <w:r w:rsidRPr="00297A42">
        <w:t>jest opracowywany przez Instytucję i przedkładany do akceptacji Prezesowi Urzędu.</w:t>
      </w:r>
    </w:p>
    <w:p w14:paraId="1C3631BD" w14:textId="2F382E5E" w:rsidR="009302F6" w:rsidRPr="00E6327D" w:rsidRDefault="009302F6" w:rsidP="009302F6">
      <w:pPr>
        <w:pStyle w:val="ARTartustawynprozporzdzenia"/>
      </w:pPr>
      <w:r w:rsidRPr="00871B15">
        <w:rPr>
          <w:rStyle w:val="Ppogrubienie"/>
        </w:rPr>
        <w:t>§ 7.</w:t>
      </w:r>
      <w:r w:rsidRPr="00E6327D">
        <w:t xml:space="preserve"> W przestrzeni powietrznej FIR Warszawa R, D, P i ADIZ wydziela się </w:t>
      </w:r>
      <w:r w:rsidR="002D54C3">
        <w:t xml:space="preserve">z uwzględnieniem </w:t>
      </w:r>
      <w:r w:rsidRPr="00E6327D">
        <w:t xml:space="preserve"> przepis</w:t>
      </w:r>
      <w:r w:rsidR="002D54C3">
        <w:t>ów</w:t>
      </w:r>
      <w:r w:rsidRPr="004C7768">
        <w:t xml:space="preserve"> </w:t>
      </w:r>
      <w:r>
        <w:t>wydany</w:t>
      </w:r>
      <w:r w:rsidR="002D54C3">
        <w:t>ch</w:t>
      </w:r>
      <w:r w:rsidRPr="00E6327D">
        <w:t xml:space="preserve"> na podstawie art. 119 ust. 4 pkt 1 ustawy.</w:t>
      </w:r>
    </w:p>
    <w:p w14:paraId="661ED335" w14:textId="77777777" w:rsidR="009302F6" w:rsidRPr="00E6327D" w:rsidRDefault="009302F6" w:rsidP="009302F6">
      <w:pPr>
        <w:pStyle w:val="ARTartustawynprozporzdzenia"/>
      </w:pPr>
      <w:r w:rsidRPr="00871B15">
        <w:rPr>
          <w:rStyle w:val="Ppogrubienie"/>
        </w:rPr>
        <w:lastRenderedPageBreak/>
        <w:t>§ 8.</w:t>
      </w:r>
      <w:r w:rsidRPr="00E6327D">
        <w:t> 1. Przestrzeń powietrzną FIR Warszawa klasyfikuje się odpowiednio dla przestrzeni kontrolowanej i niekontrolowanej, zgodnie z przepisami ICAO, z zastrzeżeniem pkt SERA.5005 i pkt SERA.6001 rozporządzenia SERA.</w:t>
      </w:r>
    </w:p>
    <w:p w14:paraId="47999742" w14:textId="77777777" w:rsidR="009302F6" w:rsidRPr="00E6327D" w:rsidRDefault="009302F6" w:rsidP="009302F6">
      <w:pPr>
        <w:pStyle w:val="USTustnpkodeksu"/>
      </w:pPr>
      <w:r w:rsidRPr="00E6327D">
        <w:t>2. Projekt klasyfikacji przestrzeni powietrznej jest opracowywany przez Instytucję i przedkładany do akceptacji Prezesowi Urzędu.</w:t>
      </w:r>
    </w:p>
    <w:p w14:paraId="6A4C943E" w14:textId="77777777" w:rsidR="009302F6" w:rsidRPr="00E6327D" w:rsidRDefault="009302F6" w:rsidP="009302F6">
      <w:pPr>
        <w:pStyle w:val="ARTartustawynprozporzdzenia"/>
      </w:pPr>
      <w:r w:rsidRPr="00871B15">
        <w:rPr>
          <w:rStyle w:val="Ppogrubienie"/>
        </w:rPr>
        <w:t>§ 9.</w:t>
      </w:r>
      <w:r w:rsidRPr="00E6327D">
        <w:t xml:space="preserve"> 1. TSA i TRA ustanawia się dla realizacji jednego z </w:t>
      </w:r>
      <w:r w:rsidRPr="00FE188D">
        <w:t>następujących</w:t>
      </w:r>
      <w:r w:rsidRPr="00E6327D">
        <w:t xml:space="preserve"> celów:</w:t>
      </w:r>
    </w:p>
    <w:p w14:paraId="16E0037D" w14:textId="77777777" w:rsidR="009302F6" w:rsidRPr="00E6327D" w:rsidRDefault="009302F6" w:rsidP="009302F6">
      <w:pPr>
        <w:pStyle w:val="PKTpunkt"/>
      </w:pPr>
      <w:r w:rsidRPr="00E6327D">
        <w:t>1)</w:t>
      </w:r>
      <w:r w:rsidRPr="00E6327D">
        <w:tab/>
        <w:t>zaspokojenia potrzeb operacyjnych lotów statków powietrznych wynikających z realizacji prac badawczo–rozwojowych, lotów treningowych lub lotów próbnych</w:t>
      </w:r>
      <w:r>
        <w:t>,</w:t>
      </w:r>
      <w:r w:rsidRPr="00E6327D">
        <w:t xml:space="preserve"> ze względu na bezpieczeństwo tych statków i innych uczestników ruchu lotniczego;</w:t>
      </w:r>
    </w:p>
    <w:p w14:paraId="2AF29AA5" w14:textId="77777777" w:rsidR="009302F6" w:rsidRPr="00E6327D" w:rsidRDefault="009302F6" w:rsidP="009302F6">
      <w:pPr>
        <w:pStyle w:val="PKTpunkt"/>
      </w:pPr>
      <w:r w:rsidRPr="00E6327D">
        <w:t>2)</w:t>
      </w:r>
      <w:r w:rsidRPr="00E6327D">
        <w:tab/>
        <w:t>prowadzenia działań w ramach szkolenia lotniczego oraz ćwiczeń, podczas których manewry statku powietrznego nie są zgodne z przepisami o ruchu lotniczym;</w:t>
      </w:r>
    </w:p>
    <w:p w14:paraId="38236350" w14:textId="77777777" w:rsidR="009302F6" w:rsidRPr="00E6327D" w:rsidRDefault="009302F6" w:rsidP="009302F6">
      <w:pPr>
        <w:pStyle w:val="PKTpunkt"/>
      </w:pPr>
      <w:r w:rsidRPr="00E6327D">
        <w:t>3)</w:t>
      </w:r>
      <w:r w:rsidRPr="00E6327D">
        <w:tab/>
        <w:t xml:space="preserve">wykonywania operacji, w tym prowadzenia szkolenia, bezzałogowym statkiem powietrznym poza zasięgiem </w:t>
      </w:r>
      <w:r>
        <w:t>widoczności wzrokowej</w:t>
      </w:r>
      <w:r w:rsidRPr="00E6327D">
        <w:t xml:space="preserve"> (BVLOS)</w:t>
      </w:r>
      <w:r>
        <w:t>.</w:t>
      </w:r>
    </w:p>
    <w:p w14:paraId="40A5D6D1" w14:textId="77777777" w:rsidR="009302F6" w:rsidRPr="00E6327D" w:rsidRDefault="009302F6" w:rsidP="009302F6">
      <w:pPr>
        <w:pStyle w:val="USTustnpkodeksu"/>
      </w:pPr>
      <w:r w:rsidRPr="00E6327D">
        <w:t>2. CBA</w:t>
      </w:r>
      <w:r>
        <w:t xml:space="preserve">, </w:t>
      </w:r>
      <w:r w:rsidRPr="00E6327D">
        <w:t>funkcjonujący na zasadach TSA albo TRA, ustanawia się w celu:</w:t>
      </w:r>
    </w:p>
    <w:p w14:paraId="352EF933" w14:textId="77777777" w:rsidR="009302F6" w:rsidRPr="00E6327D" w:rsidRDefault="009302F6" w:rsidP="009302F6">
      <w:pPr>
        <w:pStyle w:val="PKTpunkt"/>
      </w:pPr>
      <w:r w:rsidRPr="00E6327D">
        <w:t>1)</w:t>
      </w:r>
      <w:r w:rsidRPr="00E6327D">
        <w:tab/>
        <w:t>umożliwienia przeprowadzenia szkolenia lotniczego i wykonywania innych lotów operacyjnych lotnictwa wojskowego;</w:t>
      </w:r>
    </w:p>
    <w:p w14:paraId="661AFB3B" w14:textId="77777777" w:rsidR="009302F6" w:rsidRPr="00E6327D" w:rsidRDefault="009302F6" w:rsidP="009302F6">
      <w:pPr>
        <w:pStyle w:val="PKTpunkt"/>
      </w:pPr>
      <w:r>
        <w:t>2</w:t>
      </w:r>
      <w:r w:rsidRPr="00E6327D">
        <w:t>)</w:t>
      </w:r>
      <w:r w:rsidRPr="00E6327D">
        <w:tab/>
        <w:t>polepszenia struktur przestrzeni powietrznej wykorzystywanych w cywilnym ruchu lotniczym kontrolowanym i niekontrolowanym.</w:t>
      </w:r>
    </w:p>
    <w:p w14:paraId="3425013E" w14:textId="77777777" w:rsidR="009302F6" w:rsidRPr="00E6327D" w:rsidRDefault="009302F6" w:rsidP="009302F6">
      <w:pPr>
        <w:pStyle w:val="USTustnpkodeksu"/>
      </w:pPr>
      <w:r w:rsidRPr="00E6327D">
        <w:t>3. W celu efektywnego wykorzystania TSA, TRA i CBA, strefy i rejony mogą być podzielone na mniejsze części (segmenty).</w:t>
      </w:r>
    </w:p>
    <w:p w14:paraId="0AAD7634" w14:textId="77777777" w:rsidR="009302F6" w:rsidRPr="00E6327D" w:rsidRDefault="009302F6" w:rsidP="009302F6">
      <w:pPr>
        <w:pStyle w:val="USTustnpkodeksu"/>
      </w:pPr>
      <w:r w:rsidRPr="00E6327D">
        <w:t>4. Przestrzeni powietrznej w TFR, TSA, TRA i CBA nadaje się klasy odpowiednie dla przestrzeni kontrolowanej lub niekontrolowanej albo pozostaje ona niesklasyfikowana.</w:t>
      </w:r>
    </w:p>
    <w:p w14:paraId="3B9C51BA" w14:textId="77777777" w:rsidR="009302F6" w:rsidRPr="00E6327D" w:rsidRDefault="009302F6" w:rsidP="009302F6">
      <w:pPr>
        <w:pStyle w:val="USTustnpkodeksu"/>
      </w:pPr>
      <w:r w:rsidRPr="00E6327D">
        <w:t xml:space="preserve">5. Zezwolenie na </w:t>
      </w:r>
      <w:r>
        <w:t>korzystanie</w:t>
      </w:r>
      <w:r w:rsidRPr="00E6327D">
        <w:t xml:space="preserve"> na określony czas </w:t>
      </w:r>
      <w:r>
        <w:t xml:space="preserve">z </w:t>
      </w:r>
      <w:r w:rsidRPr="00E6327D">
        <w:t>przestrzeni powietrznej w CBA przydziela się poszczególnym użytkownikom przestrzeni powietrznej zgodnie z zasadami określonymi w porozumieniach międzynarodowych ustanawiających CBA.</w:t>
      </w:r>
    </w:p>
    <w:p w14:paraId="76F8262E" w14:textId="77777777" w:rsidR="009302F6" w:rsidRPr="00E6327D" w:rsidRDefault="009302F6" w:rsidP="009302F6">
      <w:pPr>
        <w:pStyle w:val="USTustnpkodeksu"/>
      </w:pPr>
      <w:r w:rsidRPr="00E6327D">
        <w:t>6. TFR jest ustanawiana w celu wykonania przelotu między TSA lub TRA.</w:t>
      </w:r>
    </w:p>
    <w:p w14:paraId="28DDBC35" w14:textId="77777777" w:rsidR="009302F6" w:rsidRPr="00E6327D" w:rsidRDefault="009302F6" w:rsidP="009302F6">
      <w:pPr>
        <w:pStyle w:val="USTustnpkodeksu"/>
      </w:pPr>
      <w:r w:rsidRPr="00E6327D">
        <w:t xml:space="preserve">7. W TFR </w:t>
      </w:r>
      <w:r>
        <w:t>nie mogą być</w:t>
      </w:r>
      <w:r w:rsidRPr="00E6327D">
        <w:t xml:space="preserve"> wykonywan</w:t>
      </w:r>
      <w:r>
        <w:t>e</w:t>
      </w:r>
      <w:r w:rsidRPr="00E6327D">
        <w:t xml:space="preserve"> lot</w:t>
      </w:r>
      <w:r>
        <w:t>y</w:t>
      </w:r>
      <w:r w:rsidRPr="00E6327D">
        <w:t xml:space="preserve"> inn</w:t>
      </w:r>
      <w:r>
        <w:t>e</w:t>
      </w:r>
      <w:r w:rsidRPr="00E6327D">
        <w:t xml:space="preserve"> niż wymienione w ust. 6.</w:t>
      </w:r>
    </w:p>
    <w:p w14:paraId="5D89FCB7" w14:textId="77777777" w:rsidR="009302F6" w:rsidRPr="00E6327D" w:rsidRDefault="009302F6" w:rsidP="009302F6">
      <w:pPr>
        <w:pStyle w:val="USTustnpkodeksu"/>
      </w:pPr>
      <w:r w:rsidRPr="00E6327D">
        <w:t>8. Projekty TFR, TSA, TRA lub CBA są opracowywane przez Instytucję i przedkładane do akceptacji Prezesowi Urzędu.</w:t>
      </w:r>
    </w:p>
    <w:p w14:paraId="11B0F2EB" w14:textId="77777777" w:rsidR="009302F6" w:rsidRPr="00E6327D" w:rsidRDefault="009302F6" w:rsidP="009302F6">
      <w:pPr>
        <w:pStyle w:val="ARTartustawynprozporzdzenia"/>
      </w:pPr>
      <w:r w:rsidRPr="00871B15">
        <w:rPr>
          <w:rStyle w:val="Ppogrubienie"/>
        </w:rPr>
        <w:t>§ 10.</w:t>
      </w:r>
      <w:r w:rsidRPr="00E6327D">
        <w:t xml:space="preserve"> 1. MRT obejmuje część przestrzeni powietrznej </w:t>
      </w:r>
      <w:r w:rsidRPr="00FE188D">
        <w:t>wydzielonej</w:t>
      </w:r>
      <w:r w:rsidRPr="00E6327D">
        <w:t xml:space="preserve"> przez Instytucję w postaci korytarza o określonych granicach pionowych i poziomych.</w:t>
      </w:r>
    </w:p>
    <w:p w14:paraId="4C63CD34" w14:textId="77777777" w:rsidR="009302F6" w:rsidRPr="00E6327D" w:rsidRDefault="009302F6" w:rsidP="009302F6">
      <w:pPr>
        <w:pStyle w:val="USTustnpkodeksu"/>
      </w:pPr>
      <w:r w:rsidRPr="00E6327D">
        <w:lastRenderedPageBreak/>
        <w:t>2. Projekt MRT jest opracowywany przez Instytucję i przedkładany do akceptacji Prezesowi Urzędu.</w:t>
      </w:r>
    </w:p>
    <w:p w14:paraId="2BC427B2" w14:textId="77777777" w:rsidR="009302F6" w:rsidRPr="00E6327D" w:rsidRDefault="009302F6" w:rsidP="009302F6">
      <w:pPr>
        <w:pStyle w:val="USTustnpkodeksu"/>
      </w:pPr>
      <w:r w:rsidRPr="00E6327D">
        <w:t>3. Przestrzeni powietrznej w MRT nadaje się klasy odpowiednie dla przestrzeni kontrolowanej lub niekontrolowanej albo pozostaje ona niesklasyfikowana.</w:t>
      </w:r>
    </w:p>
    <w:p w14:paraId="1F33AF68" w14:textId="77777777" w:rsidR="009302F6" w:rsidRPr="00E6327D" w:rsidRDefault="009302F6" w:rsidP="009302F6">
      <w:pPr>
        <w:pStyle w:val="ARTartustawynprozporzdzenia"/>
      </w:pPr>
      <w:r w:rsidRPr="00871B15">
        <w:rPr>
          <w:rStyle w:val="Ppogrubienie"/>
        </w:rPr>
        <w:t>§ 11.</w:t>
      </w:r>
      <w:r w:rsidRPr="00E6327D">
        <w:t xml:space="preserve"> 1. AMC Polska powiadamia właściwe organy ATM zainteresowanych </w:t>
      </w:r>
      <w:r w:rsidRPr="00FE188D">
        <w:t>państw</w:t>
      </w:r>
      <w:r w:rsidRPr="00E6327D">
        <w:t xml:space="preserve"> o planowanym </w:t>
      </w:r>
      <w:r>
        <w:t xml:space="preserve">korzystaniu z </w:t>
      </w:r>
      <w:r w:rsidRPr="00E6327D">
        <w:t>przestrzeni powietrznej nad wodami otwartymi Morza Bałtyckiego w FIR Warszawa.</w:t>
      </w:r>
    </w:p>
    <w:p w14:paraId="1CDCF729" w14:textId="77777777" w:rsidR="009302F6" w:rsidRPr="00E6327D" w:rsidRDefault="009302F6" w:rsidP="009302F6">
      <w:pPr>
        <w:pStyle w:val="USTustnpkodeksu"/>
      </w:pPr>
      <w:r w:rsidRPr="00E6327D">
        <w:t>2. Nad wodami otwartymi Morza Bałtyckiego w FIR Warszawa, w przypadkach określonych w § 9 ust. 1, wyznacza się D.</w:t>
      </w:r>
    </w:p>
    <w:p w14:paraId="64029338" w14:textId="77777777" w:rsidR="009302F6" w:rsidRPr="00E6327D" w:rsidRDefault="009302F6" w:rsidP="009302F6">
      <w:pPr>
        <w:pStyle w:val="ARTartustawynprozporzdzenia"/>
      </w:pPr>
      <w:r w:rsidRPr="00871B15">
        <w:rPr>
          <w:rStyle w:val="Ppogrubienie"/>
        </w:rPr>
        <w:t>§ 12.</w:t>
      </w:r>
      <w:r w:rsidRPr="00E6327D">
        <w:t xml:space="preserve"> 1. </w:t>
      </w:r>
      <w:r w:rsidRPr="00FE188D">
        <w:t>Instytucja</w:t>
      </w:r>
      <w:r w:rsidRPr="00E6327D">
        <w:t xml:space="preserve"> opracowuje, każdorazowo przy wprowadzaniu zmian w strukturze tras ATS lub innych zmian w elementach struktury przestrzeni powietrznej, projekt minimalnych wysokości bezwzględnych lotu dla poszczególnych odcinków tras ATS w FIR Warszawa i przedkłada go do akceptacji Prezesowi Urzędu.</w:t>
      </w:r>
    </w:p>
    <w:p w14:paraId="51D6B571" w14:textId="77777777" w:rsidR="009302F6" w:rsidRPr="00E6327D" w:rsidRDefault="009302F6" w:rsidP="009302F6">
      <w:pPr>
        <w:pStyle w:val="USTustnpkodeksu"/>
      </w:pPr>
      <w:r w:rsidRPr="00E6327D">
        <w:t xml:space="preserve">2. Zaakceptowane przez Prezesa Urzędu minimalne wysokości bezwzględne lotu są publikowane w </w:t>
      </w:r>
      <w:r w:rsidRPr="00486083">
        <w:t xml:space="preserve">Zintegrowanym Pakiecie </w:t>
      </w:r>
      <w:r>
        <w:t xml:space="preserve">Informacji Lotniczych, w części </w:t>
      </w:r>
      <w:r w:rsidRPr="00486083">
        <w:t>Zbiór Informacji Lotniczych</w:t>
      </w:r>
      <w:r>
        <w:t xml:space="preserve"> (</w:t>
      </w:r>
      <w:r w:rsidRPr="00E6327D">
        <w:t>AIP Polska</w:t>
      </w:r>
      <w:r>
        <w:t>)</w:t>
      </w:r>
      <w:r w:rsidRPr="00E6327D">
        <w:t>.</w:t>
      </w:r>
    </w:p>
    <w:p w14:paraId="34FB91AF" w14:textId="77777777" w:rsidR="009302F6" w:rsidRPr="00E6327D" w:rsidRDefault="009302F6" w:rsidP="009302F6">
      <w:pPr>
        <w:pStyle w:val="ARTartustawynprozporzdzenia"/>
      </w:pPr>
      <w:r w:rsidRPr="00871B15">
        <w:rPr>
          <w:rStyle w:val="Ppogrubienie"/>
        </w:rPr>
        <w:t>§ 13.</w:t>
      </w:r>
      <w:r w:rsidRPr="00E6327D">
        <w:t xml:space="preserve"> </w:t>
      </w:r>
      <w:r w:rsidRPr="00FE188D">
        <w:t>Projekty</w:t>
      </w:r>
      <w:r w:rsidRPr="00E6327D">
        <w:t xml:space="preserve"> RMZ lub TMZ są opracowywane przez Instytucję i przedkładane do akceptacji Prezesowi Urzędu.</w:t>
      </w:r>
    </w:p>
    <w:p w14:paraId="3210B40D" w14:textId="77777777" w:rsidR="009302F6" w:rsidRPr="00E6327D" w:rsidRDefault="009302F6" w:rsidP="009302F6">
      <w:pPr>
        <w:pStyle w:val="ARTartustawynprozporzdzenia"/>
      </w:pPr>
      <w:r w:rsidRPr="00871B15">
        <w:rPr>
          <w:rStyle w:val="Ppogrubienie"/>
        </w:rPr>
        <w:t xml:space="preserve">§ 14. </w:t>
      </w:r>
      <w:r w:rsidRPr="00E6327D">
        <w:t>1. Instytucja konsultuje, w terminie przez nią określonym</w:t>
      </w:r>
      <w:r>
        <w:t>,</w:t>
      </w:r>
      <w:r w:rsidRPr="00E6327D">
        <w:t xml:space="preserve"> projekty, o których mowa w § 4 ust. 4, § 5 ust. 2, § 6 ust. 2, § 8 ust. 2, § 9 ust. 8, § 10 ust. 2 i § 13, z właściwymi użytkownikami, o których mowa w art. 6 ust. 5 rozporządzenia (WE) nr 551/2004 Parlamentu Europejskiego i Rady z dnia 10 marca 2004 r. w sprawie organizacji i użytkowania przestrzeni powietrznej w Jednolitej Europejskiej Przestrzeni Powietrznej (Dz. Urz. UE L 96 z 31.03.2004; Dz. Urz. UE Polskie wydanie specjalne, rozdz. 7, t. 8, str. 41, z </w:t>
      </w:r>
      <w:proofErr w:type="spellStart"/>
      <w:r w:rsidRPr="00E6327D">
        <w:t>późn</w:t>
      </w:r>
      <w:proofErr w:type="spellEnd"/>
      <w:r w:rsidRPr="00E6327D">
        <w:t>. zm.</w:t>
      </w:r>
      <w:r w:rsidR="000C58CE">
        <w:rPr>
          <w:rStyle w:val="Odwoanieprzypisudolnego"/>
        </w:rPr>
        <w:footnoteReference w:id="4"/>
      </w:r>
      <w:r w:rsidR="004A6C88" w:rsidRPr="004A6C88">
        <w:rPr>
          <w:rStyle w:val="IGindeksgrny"/>
        </w:rPr>
        <w:t>)</w:t>
      </w:r>
      <w:r w:rsidRPr="00E6327D">
        <w:t>), zwanego dalej „rozporządzeniem nr 551/2004”, w tym z SSRL SZ RP.</w:t>
      </w:r>
    </w:p>
    <w:p w14:paraId="45D82985" w14:textId="77777777" w:rsidR="009302F6" w:rsidRPr="00E6327D" w:rsidRDefault="009302F6" w:rsidP="009302F6">
      <w:pPr>
        <w:pStyle w:val="USTustnpkodeksu"/>
      </w:pPr>
      <w:r w:rsidRPr="00E6327D">
        <w:t xml:space="preserve">2. Niezajęcie stanowiska przez właściwych użytkowników, o których mowa w art. 6 ust. 5 rozporządzenia nr 551/2004, w terminie </w:t>
      </w:r>
      <w:r>
        <w:t>określonym</w:t>
      </w:r>
      <w:r w:rsidRPr="00E6327D">
        <w:t xml:space="preserve"> </w:t>
      </w:r>
      <w:r>
        <w:t xml:space="preserve">przez Instytucję </w:t>
      </w:r>
      <w:r w:rsidRPr="00E6327D">
        <w:t>uważa się za uzgodnienie projektów chyba, że użytkownik przed upływem tego terminu zwróci się do Instytucji o jego przedłużenie, wskazując jednocześnie termin zajęcia stanowiska, nie dłuższy niż 14 dni.</w:t>
      </w:r>
    </w:p>
    <w:p w14:paraId="10BDA225" w14:textId="19579BCD" w:rsidR="009302F6" w:rsidRPr="00E6327D" w:rsidRDefault="009302F6" w:rsidP="009302F6">
      <w:pPr>
        <w:pStyle w:val="USTustnpkodeksu"/>
      </w:pPr>
      <w:r w:rsidRPr="00E6327D">
        <w:lastRenderedPageBreak/>
        <w:t>3. Projekty, o których mowa w § 4 ust. 4, § 5 ust. 2, § 6 ust. 2, § 8 ust. 2, § 9 ust. 8, § 10 ust. 2 i § 13, uwzględniają potrzeby i stopień skomplikowania ruchu</w:t>
      </w:r>
      <w:r>
        <w:t xml:space="preserve"> lotniczego</w:t>
      </w:r>
      <w:r w:rsidRPr="00E6327D">
        <w:t>, plany skuteczności działania na poziomie funkcjonalnego bloku przestrzeni powietrznej oraz informacje na temat mających wpływ na bezpieczeństwo planowanych zmian w systemach funkcjonalnych, o których mowa w przepisach wydanych na podstawie art. 128b ust. 4 ustawy.</w:t>
      </w:r>
    </w:p>
    <w:p w14:paraId="56021C37" w14:textId="77777777" w:rsidR="009302F6" w:rsidRPr="00E6327D" w:rsidRDefault="009302F6" w:rsidP="009302F6">
      <w:pPr>
        <w:pStyle w:val="USTustnpkodeksu"/>
      </w:pPr>
      <w:r w:rsidRPr="00E6327D">
        <w:t>4. W przypadku stwierdzenia, że projekty, o których mowa w § 4 ust. 4, § 5 ust. 2, § 6 ust. 2, § 8 ust. 2, § 9 ust. 8, § 10 ust. 2 i § 13, nie uwzględniają przesłanek lub nie zawierają informacji, o których mowa w ust. 3, lub nie zostały skonsultowane zgodnie z ust. 1 i 2, Prezes Urzędu zwraca je do Instytucji w celu usunięcia stwierdzonych uchybień lub przeprowadzenia ponownych konsultacji.</w:t>
      </w:r>
    </w:p>
    <w:p w14:paraId="2A013B5B" w14:textId="77777777" w:rsidR="009302F6" w:rsidRDefault="009302F6" w:rsidP="009302F6">
      <w:pPr>
        <w:pStyle w:val="ARTartustawynprozporzdzenia"/>
      </w:pPr>
      <w:r w:rsidRPr="00871B15">
        <w:rPr>
          <w:rStyle w:val="Ppogrubienie"/>
        </w:rPr>
        <w:t>§ 15.</w:t>
      </w:r>
      <w:r w:rsidRPr="00E6327D">
        <w:t xml:space="preserve"> </w:t>
      </w:r>
      <w:r>
        <w:t>Informacje dotyczące z</w:t>
      </w:r>
      <w:r w:rsidRPr="00E6327D">
        <w:t>aakceptowan</w:t>
      </w:r>
      <w:r>
        <w:t>ych</w:t>
      </w:r>
      <w:r w:rsidRPr="00E6327D">
        <w:t xml:space="preserve"> przez Prezesa Urzędu element</w:t>
      </w:r>
      <w:r>
        <w:t>ów</w:t>
      </w:r>
      <w:r w:rsidRPr="00E6327D">
        <w:t xml:space="preserve"> struktury </w:t>
      </w:r>
      <w:r w:rsidRPr="00F76D15">
        <w:t>przestrzeni</w:t>
      </w:r>
      <w:r w:rsidRPr="00E6327D">
        <w:t xml:space="preserve"> powietrznej, klasyfikacj</w:t>
      </w:r>
      <w:r>
        <w:t>i</w:t>
      </w:r>
      <w:r w:rsidRPr="00E6327D">
        <w:t xml:space="preserve"> przestrzeni powietrznej oraz ich zmian, są publikowane w Dzienniku Urzędowym Urzędu Lotnictwa Cywilnego.</w:t>
      </w:r>
    </w:p>
    <w:p w14:paraId="0C4ECF94" w14:textId="77777777" w:rsidR="009302F6" w:rsidRPr="00E6327D" w:rsidRDefault="009302F6" w:rsidP="009302F6">
      <w:pPr>
        <w:pStyle w:val="ROZDZODDZOZNoznaczenierozdziauluboddziau"/>
      </w:pPr>
      <w:r w:rsidRPr="00E6327D">
        <w:t xml:space="preserve">Rozdział 3 </w:t>
      </w:r>
    </w:p>
    <w:p w14:paraId="467E191D" w14:textId="77777777" w:rsidR="009302F6" w:rsidRDefault="009302F6" w:rsidP="009302F6">
      <w:pPr>
        <w:pStyle w:val="ROZDZODDZPRZEDMprzedmiotregulacjirozdziauluboddziau"/>
      </w:pPr>
      <w:r w:rsidRPr="00E6327D">
        <w:t>Korzystanie z przestrzeni powietrzne</w:t>
      </w:r>
      <w:r>
        <w:t>j</w:t>
      </w:r>
    </w:p>
    <w:p w14:paraId="6E9637C9" w14:textId="77777777" w:rsidR="009302F6" w:rsidRPr="00E6327D" w:rsidRDefault="009302F6" w:rsidP="009302F6">
      <w:pPr>
        <w:pStyle w:val="ARTartustawynprozporzdzenia"/>
      </w:pPr>
      <w:r w:rsidRPr="00871B15">
        <w:rPr>
          <w:rStyle w:val="Ppogrubienie"/>
        </w:rPr>
        <w:t>§ 16.</w:t>
      </w:r>
      <w:r w:rsidRPr="00E6327D">
        <w:t> 1. Loty AIR POLICING nie wymagają składania planów lotu.</w:t>
      </w:r>
    </w:p>
    <w:p w14:paraId="13E71A73" w14:textId="77777777" w:rsidR="009302F6" w:rsidRDefault="009302F6" w:rsidP="009302F6">
      <w:pPr>
        <w:pStyle w:val="USTustnpkodeksu"/>
      </w:pPr>
      <w:r w:rsidRPr="00E6327D">
        <w:t xml:space="preserve">2. Korzystanie z przestrzeni powietrznej, o której mowa w </w:t>
      </w:r>
      <w:r w:rsidRPr="001B4F91">
        <w:t>§ 6</w:t>
      </w:r>
      <w:r w:rsidRPr="00E6327D">
        <w:t>, następuje po uzyskaniu zezwolenia właściwego organu ATC oraz podpisaniu porozumienia pomiędzy organem ATS a podmiotem planującym wykonywanie lotów w tej przestrzeni. W porozumieniu określa się procedury aktywacji, zakończenia aktywności i operacji w tej przestrzeni.</w:t>
      </w:r>
    </w:p>
    <w:p w14:paraId="23EE6E25" w14:textId="77777777" w:rsidR="009302F6" w:rsidRPr="00E6327D" w:rsidRDefault="009302F6" w:rsidP="009302F6">
      <w:pPr>
        <w:pStyle w:val="USTustnpkodeksu"/>
      </w:pPr>
      <w:r w:rsidRPr="00E6327D">
        <w:t xml:space="preserve">3. </w:t>
      </w:r>
      <w:r>
        <w:t xml:space="preserve">Korzystanie z </w:t>
      </w:r>
      <w:r w:rsidRPr="00E6327D">
        <w:t xml:space="preserve">TSA, TRA, CBA, MRT lub TFR </w:t>
      </w:r>
      <w:r>
        <w:t>wymaga</w:t>
      </w:r>
      <w:r w:rsidRPr="00E6327D">
        <w:t xml:space="preserve"> </w:t>
      </w:r>
      <w:r>
        <w:t xml:space="preserve">uprzedniego zgłoszenia </w:t>
      </w:r>
      <w:r w:rsidRPr="00E6327D">
        <w:t>rezerwacji</w:t>
      </w:r>
      <w:r>
        <w:t xml:space="preserve"> do</w:t>
      </w:r>
      <w:r w:rsidRPr="00E6327D">
        <w:t xml:space="preserve"> AMC Polska w sposób określony w § 19.</w:t>
      </w:r>
    </w:p>
    <w:p w14:paraId="0D04360B" w14:textId="77777777" w:rsidR="009302F6" w:rsidRDefault="009302F6" w:rsidP="009302F6">
      <w:pPr>
        <w:pStyle w:val="USTustnpkodeksu"/>
      </w:pPr>
      <w:r w:rsidRPr="00E6327D">
        <w:t>4. </w:t>
      </w:r>
      <w:r w:rsidRPr="001B4F91">
        <w:t xml:space="preserve">Korzystanie </w:t>
      </w:r>
      <w:r>
        <w:t xml:space="preserve">z </w:t>
      </w:r>
      <w:r w:rsidRPr="00E6327D">
        <w:t xml:space="preserve">MATZ odbywa się </w:t>
      </w:r>
      <w:r>
        <w:t>w sposób i na warunkach określonych przez SSRL SZ RP.</w:t>
      </w:r>
    </w:p>
    <w:p w14:paraId="759A0B1A" w14:textId="77777777" w:rsidR="009302F6" w:rsidRDefault="009302F6" w:rsidP="009302F6">
      <w:pPr>
        <w:pStyle w:val="USTustnpkodeksu"/>
      </w:pPr>
      <w:r>
        <w:t>5. Korzystanie z ATZ i MATZ przez użytkowników innych niż główny użytkownik ATZ lub MATZ jest możliwe po uzgodnieniu z głównym użytkownikiem ATZ lub MATZ.</w:t>
      </w:r>
    </w:p>
    <w:p w14:paraId="31A8CCBF" w14:textId="77777777" w:rsidR="009302F6" w:rsidRPr="00E6327D" w:rsidRDefault="009302F6" w:rsidP="009302F6">
      <w:pPr>
        <w:pStyle w:val="USTustnpkodeksu"/>
      </w:pPr>
      <w:r>
        <w:t>6</w:t>
      </w:r>
      <w:r w:rsidRPr="00E6327D">
        <w:t>. Wlot w strefy, rejony i trasy, o których mowa w ust. 3, a także w CTR</w:t>
      </w:r>
      <w:r>
        <w:t>,</w:t>
      </w:r>
      <w:r w:rsidRPr="00E6327D">
        <w:t xml:space="preserve"> MCTR</w:t>
      </w:r>
      <w:r>
        <w:t>, TMA i MTMA</w:t>
      </w:r>
      <w:r w:rsidRPr="00E6327D">
        <w:t xml:space="preserve"> statków powietrznych wykonujących lot na hasło GARDA albo statków powietrznych ze statusem lotu HOSP, SAR, FFR lub MEDEVAC </w:t>
      </w:r>
      <w:r>
        <w:t>jest możliwy</w:t>
      </w:r>
      <w:r w:rsidRPr="00E6327D">
        <w:t xml:space="preserve"> po uzgodnieniu wlotu do tych stref, rejonów i tras z organami ATS.</w:t>
      </w:r>
    </w:p>
    <w:p w14:paraId="33C38F3C" w14:textId="77777777" w:rsidR="009302F6" w:rsidRPr="00E6327D" w:rsidRDefault="009302F6" w:rsidP="009302F6">
      <w:pPr>
        <w:pStyle w:val="USTustnpkodeksu"/>
      </w:pPr>
      <w:r>
        <w:lastRenderedPageBreak/>
        <w:t>7</w:t>
      </w:r>
      <w:r w:rsidRPr="00E6327D">
        <w:t>. Hasło GARDA jest wpisywane do planu lotu lub zgłaszane organom ATS drogą radiową.</w:t>
      </w:r>
    </w:p>
    <w:p w14:paraId="705AAE16" w14:textId="77777777" w:rsidR="009302F6" w:rsidRDefault="009302F6" w:rsidP="009302F6">
      <w:pPr>
        <w:pStyle w:val="ARTartustawynprozporzdzenia"/>
      </w:pPr>
      <w:r w:rsidRPr="00871B15">
        <w:rPr>
          <w:rStyle w:val="Ppogrubienie"/>
        </w:rPr>
        <w:t>§ 17.</w:t>
      </w:r>
      <w:r w:rsidRPr="00E6327D">
        <w:t> </w:t>
      </w:r>
      <w:r>
        <w:t xml:space="preserve">1. </w:t>
      </w:r>
      <w:r w:rsidRPr="001B4F91">
        <w:t>Korzystanie z</w:t>
      </w:r>
      <w:r>
        <w:t>e</w:t>
      </w:r>
      <w:r w:rsidRPr="00E6327D">
        <w:t xml:space="preserve"> stref, o których mowa w § 7, </w:t>
      </w:r>
      <w:r w:rsidRPr="00F76D15">
        <w:t>określają</w:t>
      </w:r>
      <w:r w:rsidRPr="00E6327D">
        <w:t xml:space="preserve"> przepisy wydane na podstawie art. 119 ust. 4 pkt 1 ustawy</w:t>
      </w:r>
      <w:r>
        <w:t>.</w:t>
      </w:r>
    </w:p>
    <w:p w14:paraId="61D57228" w14:textId="77777777" w:rsidR="009302F6" w:rsidRPr="00E6327D" w:rsidRDefault="009302F6" w:rsidP="009302F6">
      <w:pPr>
        <w:pStyle w:val="ARTartustawynprozporzdzenia"/>
      </w:pPr>
      <w:r>
        <w:t xml:space="preserve">2. Podejmowanie działań niebezpiecznych dla lotów cywilnych statków powietrznych </w:t>
      </w:r>
      <w:r w:rsidRPr="00B16155">
        <w:t xml:space="preserve">w </w:t>
      </w:r>
      <w:r>
        <w:t xml:space="preserve">strefie D </w:t>
      </w:r>
      <w:r w:rsidRPr="00B16155">
        <w:t xml:space="preserve">wymaga </w:t>
      </w:r>
      <w:r>
        <w:t xml:space="preserve">uprzedniej </w:t>
      </w:r>
      <w:r w:rsidRPr="00B16155">
        <w:t>rezerwacji przestrzeni powietrznej w AMC Polska w sposób określony w § 19</w:t>
      </w:r>
      <w:r w:rsidRPr="00E6327D">
        <w:t>.</w:t>
      </w:r>
    </w:p>
    <w:p w14:paraId="54896596" w14:textId="77777777" w:rsidR="009302F6" w:rsidRPr="00E6327D" w:rsidRDefault="009302F6" w:rsidP="009302F6">
      <w:pPr>
        <w:pStyle w:val="ARTartustawynprozporzdzenia"/>
      </w:pPr>
      <w:r w:rsidRPr="00871B15">
        <w:rPr>
          <w:rStyle w:val="Ppogrubienie"/>
        </w:rPr>
        <w:t>§ 18.</w:t>
      </w:r>
      <w:r w:rsidRPr="00E6327D">
        <w:t> 1. </w:t>
      </w:r>
      <w:r w:rsidRPr="001B4F91">
        <w:t>Korzystanie z</w:t>
      </w:r>
      <w:r>
        <w:t xml:space="preserve"> </w:t>
      </w:r>
      <w:r w:rsidRPr="00E6327D">
        <w:t>TSA lub segment</w:t>
      </w:r>
      <w:r>
        <w:t>ów</w:t>
      </w:r>
      <w:r w:rsidRPr="00E6327D">
        <w:t xml:space="preserve"> t</w:t>
      </w:r>
      <w:r>
        <w:t>ej</w:t>
      </w:r>
      <w:r w:rsidRPr="00E6327D">
        <w:t xml:space="preserve"> stref</w:t>
      </w:r>
      <w:r>
        <w:t>y</w:t>
      </w:r>
      <w:r w:rsidRPr="00E6327D">
        <w:t xml:space="preserve"> </w:t>
      </w:r>
      <w:r>
        <w:t xml:space="preserve">jest możliwe </w:t>
      </w:r>
      <w:r w:rsidRPr="00E6327D">
        <w:t>wyłączn</w:t>
      </w:r>
      <w:r>
        <w:t>i</w:t>
      </w:r>
      <w:r w:rsidRPr="00E6327D">
        <w:t xml:space="preserve">e przez </w:t>
      </w:r>
      <w:r>
        <w:t xml:space="preserve">jednego </w:t>
      </w:r>
      <w:r w:rsidRPr="00E6327D">
        <w:t>użytkownika w określonym czasie i przedziale wysokości</w:t>
      </w:r>
      <w:r>
        <w:t>, a przelot statku powietrznego niebiorącego udziału w działaniach, dla których zarezerwowano strefę, nie jest możliwy</w:t>
      </w:r>
      <w:r w:rsidRPr="00E6327D">
        <w:t>.</w:t>
      </w:r>
    </w:p>
    <w:p w14:paraId="360B0B67" w14:textId="77777777" w:rsidR="009302F6" w:rsidRPr="00E6327D" w:rsidRDefault="009302F6" w:rsidP="009302F6">
      <w:pPr>
        <w:pStyle w:val="USTustnpkodeksu"/>
      </w:pPr>
      <w:r w:rsidRPr="00E6327D">
        <w:t xml:space="preserve">2. </w:t>
      </w:r>
      <w:r w:rsidRPr="001B4F91">
        <w:t>Korzystanie z</w:t>
      </w:r>
      <w:r>
        <w:t xml:space="preserve"> </w:t>
      </w:r>
      <w:r w:rsidRPr="00E6327D">
        <w:t>TRA lub segment</w:t>
      </w:r>
      <w:r>
        <w:t>ów</w:t>
      </w:r>
      <w:r w:rsidRPr="00E6327D">
        <w:t xml:space="preserve"> t</w:t>
      </w:r>
      <w:r>
        <w:t>ej</w:t>
      </w:r>
      <w:r w:rsidRPr="00E6327D">
        <w:t xml:space="preserve"> stref</w:t>
      </w:r>
      <w:r>
        <w:t>y</w:t>
      </w:r>
      <w:r w:rsidRPr="00E6327D">
        <w:t xml:space="preserve"> wymaga rezerwacji przestrzeni powietrznej w AMC Polska</w:t>
      </w:r>
      <w:r>
        <w:t xml:space="preserve"> w sposób określony w </w:t>
      </w:r>
      <w:r w:rsidRPr="00B16155">
        <w:t>§ 19</w:t>
      </w:r>
      <w:r w:rsidRPr="00E6327D">
        <w:t xml:space="preserve">. </w:t>
      </w:r>
    </w:p>
    <w:p w14:paraId="60C13513" w14:textId="77777777" w:rsidR="009302F6" w:rsidRPr="00E6327D" w:rsidRDefault="009302F6" w:rsidP="009302F6">
      <w:pPr>
        <w:pStyle w:val="USTustnpkodeksu"/>
      </w:pPr>
      <w:r w:rsidRPr="00E6327D">
        <w:t xml:space="preserve">3. </w:t>
      </w:r>
      <w:r>
        <w:t>P</w:t>
      </w:r>
      <w:r w:rsidRPr="00E6327D">
        <w:t xml:space="preserve">rzelot </w:t>
      </w:r>
      <w:r>
        <w:t>p</w:t>
      </w:r>
      <w:r w:rsidRPr="00E6327D">
        <w:t xml:space="preserve">rzez TRA lub jej segmenty </w:t>
      </w:r>
      <w:r>
        <w:t>statku powietrznego</w:t>
      </w:r>
      <w:r w:rsidRPr="00E6327D">
        <w:t xml:space="preserve"> niebiorącego udziału w działaniach, dla których zarezerwowano </w:t>
      </w:r>
      <w:r>
        <w:t>TRA</w:t>
      </w:r>
      <w:r w:rsidRPr="00E6327D">
        <w:t>,</w:t>
      </w:r>
      <w:r>
        <w:t xml:space="preserve"> jest możliwy</w:t>
      </w:r>
      <w:r w:rsidRPr="00E6327D">
        <w:t xml:space="preserve"> po uzyskaniu:</w:t>
      </w:r>
    </w:p>
    <w:p w14:paraId="6F1DFEC1" w14:textId="77777777" w:rsidR="009302F6" w:rsidRPr="00E6327D" w:rsidRDefault="009302F6" w:rsidP="009302F6">
      <w:pPr>
        <w:pStyle w:val="PKTpunkt"/>
      </w:pPr>
      <w:r w:rsidRPr="00E6327D">
        <w:t>1) </w:t>
      </w:r>
      <w:r>
        <w:tab/>
      </w:r>
      <w:r w:rsidRPr="00E6327D">
        <w:t>zezwolenia właściwego organu ATC</w:t>
      </w:r>
      <w:r>
        <w:t xml:space="preserve"> </w:t>
      </w:r>
      <w:r w:rsidRPr="003929EB">
        <w:t>–</w:t>
      </w:r>
      <w:r w:rsidRPr="00E6327D">
        <w:t xml:space="preserve"> w przypadku TRA sklasyfikowanej zgodnie z klasą przestrzeni powietrznej kontrolowanej albo</w:t>
      </w:r>
    </w:p>
    <w:p w14:paraId="6CC31EAF" w14:textId="77777777" w:rsidR="009302F6" w:rsidRPr="00E6327D" w:rsidRDefault="009302F6" w:rsidP="009302F6">
      <w:pPr>
        <w:pStyle w:val="PKTpunkt"/>
      </w:pPr>
      <w:r w:rsidRPr="00E6327D">
        <w:t>2) </w:t>
      </w:r>
      <w:r>
        <w:tab/>
      </w:r>
      <w:r w:rsidRPr="00E6327D">
        <w:t>zgody użytkownika</w:t>
      </w:r>
      <w:r>
        <w:t xml:space="preserve"> </w:t>
      </w:r>
      <w:r w:rsidRPr="003929EB">
        <w:t>–</w:t>
      </w:r>
      <w:r w:rsidRPr="00E6327D">
        <w:t xml:space="preserve"> w przypadku TRA sklasyfikowanej zgodnie z klasą przestrzeni powietrznej niekontrolowanej lub TRA niesklasyfikowanej.</w:t>
      </w:r>
    </w:p>
    <w:p w14:paraId="147D010F" w14:textId="77777777" w:rsidR="009302F6" w:rsidRDefault="009302F6" w:rsidP="009302F6">
      <w:pPr>
        <w:pStyle w:val="USTustnpkodeksu"/>
      </w:pPr>
      <w:r>
        <w:t>4</w:t>
      </w:r>
      <w:r w:rsidRPr="00E6327D">
        <w:t xml:space="preserve">. Za bezpieczeństwo lotów wykonywanych w TSA, TRA, </w:t>
      </w:r>
      <w:r>
        <w:t xml:space="preserve">CBA, </w:t>
      </w:r>
      <w:r w:rsidRPr="00E6327D">
        <w:t>TFR oraz MRT odpowiada użytkownik.</w:t>
      </w:r>
    </w:p>
    <w:p w14:paraId="1A9E5C11" w14:textId="5D5AEDB8" w:rsidR="009302F6" w:rsidRPr="00E6327D" w:rsidRDefault="009302F6" w:rsidP="009302F6">
      <w:pPr>
        <w:pStyle w:val="USTustnpkodeksu"/>
      </w:pPr>
      <w:r>
        <w:t>5. Przelot statku powietrznego niebiorącego udziału w działaniach, dla których zarezerwowano MRT lub TFR, nie jest możliwy.</w:t>
      </w:r>
    </w:p>
    <w:p w14:paraId="483EB3D2" w14:textId="5B81EA07" w:rsidR="009302F6" w:rsidRPr="00E6327D" w:rsidRDefault="009302F6" w:rsidP="009302F6">
      <w:pPr>
        <w:pStyle w:val="ARTartustawynprozporzdzenia"/>
      </w:pPr>
      <w:r w:rsidRPr="00871B15">
        <w:rPr>
          <w:rStyle w:val="Ppogrubienie"/>
        </w:rPr>
        <w:t>§ 19.</w:t>
      </w:r>
      <w:r w:rsidRPr="00E6327D">
        <w:t xml:space="preserve"> 1. </w:t>
      </w:r>
      <w:r w:rsidRPr="001B4F91">
        <w:t>Korzystanie z</w:t>
      </w:r>
      <w:r w:rsidRPr="00E6327D">
        <w:t xml:space="preserve"> elastycznych elementów struktury przestrzeni powietrznej</w:t>
      </w:r>
      <w:r w:rsidR="008372FC">
        <w:t xml:space="preserve"> </w:t>
      </w:r>
      <w:r w:rsidRPr="00E6327D">
        <w:t>następuje po złożeniu zamówienia do AMC Polska, nie później niż do godziny 10</w:t>
      </w:r>
      <w:r w:rsidRPr="00D66B4F">
        <w:rPr>
          <w:rStyle w:val="IGindeksgrny"/>
        </w:rPr>
        <w:t>00</w:t>
      </w:r>
      <w:r w:rsidRPr="00E6327D">
        <w:t xml:space="preserve"> UTC dnia roboczego poprzedzającego dzień planowanej aktywności.</w:t>
      </w:r>
    </w:p>
    <w:p w14:paraId="2885493F" w14:textId="77777777" w:rsidR="009302F6" w:rsidRPr="00E6327D" w:rsidRDefault="009302F6" w:rsidP="009302F6">
      <w:pPr>
        <w:pStyle w:val="USTustnpkodeksu"/>
      </w:pPr>
      <w:r w:rsidRPr="00E6327D">
        <w:t>2. Zamówienie, o którym mowa w ust. 1, mogą składać następujący użytkownicy:</w:t>
      </w:r>
    </w:p>
    <w:p w14:paraId="1C57B414" w14:textId="77777777" w:rsidR="009302F6" w:rsidRPr="00E6327D" w:rsidRDefault="009302F6" w:rsidP="009302F6">
      <w:pPr>
        <w:pStyle w:val="PKTpunkt"/>
      </w:pPr>
      <w:r w:rsidRPr="00E6327D">
        <w:t xml:space="preserve">1) </w:t>
      </w:r>
      <w:r>
        <w:tab/>
      </w:r>
      <w:r w:rsidRPr="00E6327D">
        <w:t>organy Sił Zbrojnych Rzeczypospolitej Polskiej wskazane przez SSRL SZ RP;</w:t>
      </w:r>
    </w:p>
    <w:p w14:paraId="6BA433F6" w14:textId="16F38E93" w:rsidR="009302F6" w:rsidRPr="00E6327D" w:rsidRDefault="009302F6" w:rsidP="009302F6">
      <w:pPr>
        <w:pStyle w:val="PKTpunkt"/>
      </w:pPr>
      <w:r w:rsidRPr="00E6327D">
        <w:t xml:space="preserve">2) </w:t>
      </w:r>
      <w:r>
        <w:tab/>
      </w:r>
      <w:r w:rsidRPr="00E6327D">
        <w:t xml:space="preserve">Szef Agencji Bezpieczeństwa Wewnętrznego, Szef Agencji Wywiadu, Komendant Główny Straży Granicznej, Szef Krajowej Administracji Skarbowej, Komendant Główny Policji, </w:t>
      </w:r>
      <w:r w:rsidR="00BC7103">
        <w:t xml:space="preserve">Komendant Służby </w:t>
      </w:r>
      <w:r w:rsidRPr="00E6327D">
        <w:t xml:space="preserve"> Ochrony </w:t>
      </w:r>
      <w:r w:rsidR="00BC7103">
        <w:t>Państwa</w:t>
      </w:r>
      <w:r w:rsidRPr="00E6327D">
        <w:t>, Komendant Główny Państwowej Straży Pożarnej;</w:t>
      </w:r>
    </w:p>
    <w:p w14:paraId="156A5643" w14:textId="77777777" w:rsidR="009302F6" w:rsidRPr="00E6327D" w:rsidRDefault="009302F6" w:rsidP="009302F6">
      <w:pPr>
        <w:pStyle w:val="PKTpunkt"/>
      </w:pPr>
      <w:r w:rsidRPr="00E6327D">
        <w:lastRenderedPageBreak/>
        <w:t xml:space="preserve">3) </w:t>
      </w:r>
      <w:r>
        <w:tab/>
      </w:r>
      <w:r w:rsidRPr="00E6327D">
        <w:t>stowarzyszenia, których przedmiotem działalności jest działalność lotnicza, utworzone zgodnie z przepisami prawa polskiego;</w:t>
      </w:r>
    </w:p>
    <w:p w14:paraId="2B7BFF6A" w14:textId="77777777" w:rsidR="009302F6" w:rsidRPr="00E6327D" w:rsidRDefault="009302F6" w:rsidP="009302F6">
      <w:pPr>
        <w:pStyle w:val="PKTpunkt"/>
      </w:pPr>
      <w:r w:rsidRPr="00E6327D">
        <w:t xml:space="preserve">4) </w:t>
      </w:r>
      <w:r>
        <w:tab/>
      </w:r>
      <w:r w:rsidRPr="00E6327D">
        <w:t>ośrodki lub organizacje szkolenia lotniczego;</w:t>
      </w:r>
    </w:p>
    <w:p w14:paraId="4F024C64" w14:textId="77777777" w:rsidR="009302F6" w:rsidRPr="00E6327D" w:rsidRDefault="009302F6" w:rsidP="009302F6">
      <w:pPr>
        <w:pStyle w:val="PKTpunkt"/>
      </w:pPr>
      <w:r w:rsidRPr="00E6327D">
        <w:t xml:space="preserve">5) </w:t>
      </w:r>
      <w:r>
        <w:tab/>
      </w:r>
      <w:r w:rsidRPr="00E6327D">
        <w:t>zarządzający lotniskami lub zakładający lądowiska;</w:t>
      </w:r>
    </w:p>
    <w:p w14:paraId="26396BBA" w14:textId="77777777" w:rsidR="009302F6" w:rsidRPr="00E6327D" w:rsidRDefault="009302F6" w:rsidP="009302F6">
      <w:pPr>
        <w:pStyle w:val="PKTpunkt"/>
      </w:pPr>
      <w:r w:rsidRPr="00E6327D">
        <w:t xml:space="preserve">6) </w:t>
      </w:r>
      <w:r>
        <w:tab/>
      </w:r>
      <w:r w:rsidRPr="00E6327D">
        <w:t>podmioty projektujące lub produkujące wyroby lotnicze;</w:t>
      </w:r>
    </w:p>
    <w:p w14:paraId="03E6786B" w14:textId="77777777" w:rsidR="009302F6" w:rsidRDefault="009302F6" w:rsidP="009302F6">
      <w:pPr>
        <w:pStyle w:val="PKTpunkt"/>
      </w:pPr>
      <w:r w:rsidRPr="00E6327D">
        <w:t xml:space="preserve">7) </w:t>
      </w:r>
      <w:r>
        <w:tab/>
      </w:r>
      <w:r w:rsidRPr="00E6327D">
        <w:t>inne niż wymienione w pkt 4–6 podmioty, prowadzące lotniczą działalność gospodarczą.</w:t>
      </w:r>
    </w:p>
    <w:p w14:paraId="3BA65D0A" w14:textId="77777777" w:rsidR="009302F6" w:rsidRPr="005B5998" w:rsidRDefault="009302F6" w:rsidP="009302F6">
      <w:pPr>
        <w:pStyle w:val="USTustnpkodeksu"/>
      </w:pPr>
      <w:r w:rsidRPr="005B5998">
        <w:t>3. Prezes Urzędu publikuje w Dzienniku Urzędowym Urzędu Lotnictwa Cywilnego</w:t>
      </w:r>
      <w:r>
        <w:t>, w drodze obwieszczenia,</w:t>
      </w:r>
      <w:r w:rsidRPr="005B5998">
        <w:t xml:space="preserve"> wykaz </w:t>
      </w:r>
      <w:r>
        <w:t>użytkowników,</w:t>
      </w:r>
      <w:r w:rsidRPr="005B5998">
        <w:t xml:space="preserve"> o których mowa w ust. 2 pkt 3</w:t>
      </w:r>
      <w:r>
        <w:t>–</w:t>
      </w:r>
      <w:r w:rsidRPr="005B5998">
        <w:t>7, wraz z informacjami o adresie i stronie internetowej tych podmiotów, jeżeli ją posiadają.</w:t>
      </w:r>
    </w:p>
    <w:p w14:paraId="784C1D00" w14:textId="77777777" w:rsidR="009302F6" w:rsidRPr="00E6327D" w:rsidRDefault="009302F6" w:rsidP="009302F6">
      <w:pPr>
        <w:pStyle w:val="USTustnpkodeksu"/>
      </w:pPr>
      <w:r>
        <w:t>4</w:t>
      </w:r>
      <w:r w:rsidRPr="00E6327D">
        <w:t>. </w:t>
      </w:r>
      <w:r>
        <w:t>Wydłużenie</w:t>
      </w:r>
      <w:r w:rsidRPr="00E6327D">
        <w:t xml:space="preserve"> czasu </w:t>
      </w:r>
      <w:r>
        <w:t>k</w:t>
      </w:r>
      <w:r w:rsidRPr="001B4F91">
        <w:t>orzystani</w:t>
      </w:r>
      <w:r>
        <w:t>a</w:t>
      </w:r>
      <w:r w:rsidRPr="001B4F91">
        <w:t xml:space="preserve"> z</w:t>
      </w:r>
      <w:r w:rsidRPr="001B4F91" w:rsidDel="001B4F91">
        <w:t xml:space="preserve"> </w:t>
      </w:r>
      <w:r w:rsidRPr="00E6327D">
        <w:t xml:space="preserve">ATZ i MATZ w stosunku do </w:t>
      </w:r>
      <w:r>
        <w:t xml:space="preserve">czasu </w:t>
      </w:r>
      <w:r w:rsidRPr="00E6327D">
        <w:t xml:space="preserve">opublikowanego w </w:t>
      </w:r>
      <w:r w:rsidRPr="00486083">
        <w:t xml:space="preserve">Zintegrowanym Pakiecie </w:t>
      </w:r>
      <w:r>
        <w:t xml:space="preserve">Informacji Lotniczych, w części </w:t>
      </w:r>
      <w:r w:rsidRPr="00486083">
        <w:t>Zbiór Informacji Lotniczych</w:t>
      </w:r>
      <w:r>
        <w:t xml:space="preserve"> (</w:t>
      </w:r>
      <w:r w:rsidRPr="00E6327D">
        <w:t>AIP Polska</w:t>
      </w:r>
      <w:r>
        <w:t>)</w:t>
      </w:r>
      <w:r w:rsidRPr="00E6327D">
        <w:t xml:space="preserve"> jest możliw</w:t>
      </w:r>
      <w:r>
        <w:t>e</w:t>
      </w:r>
      <w:r w:rsidRPr="00E6327D">
        <w:t xml:space="preserve"> na podstawie zamówienia składanego przez zarządzającego lotniskiem, w trybie </w:t>
      </w:r>
      <w:r>
        <w:t>określonym</w:t>
      </w:r>
      <w:r w:rsidRPr="00E6327D">
        <w:t xml:space="preserve"> w ust. 1.</w:t>
      </w:r>
    </w:p>
    <w:p w14:paraId="1B017712" w14:textId="77777777" w:rsidR="009302F6" w:rsidRPr="00E6327D" w:rsidRDefault="009302F6" w:rsidP="009302F6">
      <w:pPr>
        <w:pStyle w:val="USTustnpkodeksu"/>
      </w:pPr>
      <w:r>
        <w:t>5</w:t>
      </w:r>
      <w:r w:rsidRPr="00E6327D">
        <w:t xml:space="preserve">. Zamówienie, o którym mowa w ust. 1, może być </w:t>
      </w:r>
      <w:r>
        <w:t>składane</w:t>
      </w:r>
      <w:r w:rsidRPr="00E6327D">
        <w:t xml:space="preserve"> jako wniosek o udostępnienie bloku przestrzeni powietrznej obejmującego jeden lub więcej niż jeden segment albo więcej niż jeden przedział wysokości potrzebny przez określony czas z możliwością przesunięcia czasu </w:t>
      </w:r>
      <w:r>
        <w:t>korzystania z</w:t>
      </w:r>
      <w:r w:rsidRPr="00E6327D">
        <w:t xml:space="preserve"> przestrzeni lub przedziału wysokości. Przesunięcie czasu </w:t>
      </w:r>
      <w:r>
        <w:t xml:space="preserve">korzystania z </w:t>
      </w:r>
      <w:r w:rsidRPr="00E6327D">
        <w:t xml:space="preserve">przestrzeni lub przedziału wysokości może nastąpić po zgłoszeniu takiej potrzeby w dniu operacji, z </w:t>
      </w:r>
      <w:r>
        <w:t xml:space="preserve">co najmniej </w:t>
      </w:r>
      <w:r w:rsidRPr="00E6327D">
        <w:t>30–minutowym wyprzedzeniem i po uzyskaniu zezwolenia AMC Polska.</w:t>
      </w:r>
    </w:p>
    <w:p w14:paraId="2241C0F0" w14:textId="77777777" w:rsidR="009302F6" w:rsidRPr="00E6327D" w:rsidRDefault="009302F6" w:rsidP="009302F6">
      <w:pPr>
        <w:pStyle w:val="USTustnpkodeksu"/>
      </w:pPr>
      <w:r>
        <w:t>6</w:t>
      </w:r>
      <w:r w:rsidRPr="00E6327D">
        <w:t xml:space="preserve">. Użytkownik korzystający ze stref, rejonów i tras, o których mowa w § 16 ust. 3, może wystąpić o zezwolenie do AMC Polska o przedłużenie aktywności danej strefy, co najmniej 30 minut przed planowanym zakończeniem aktywności. </w:t>
      </w:r>
    </w:p>
    <w:p w14:paraId="4F937108" w14:textId="77777777" w:rsidR="009302F6" w:rsidRPr="00E6327D" w:rsidRDefault="009302F6" w:rsidP="009302F6">
      <w:pPr>
        <w:pStyle w:val="USTustnpkodeksu"/>
      </w:pPr>
      <w:r>
        <w:t>7</w:t>
      </w:r>
      <w:r w:rsidRPr="00E6327D">
        <w:t>. W przypadku braku zezwolenia, po upływie czasu opublikowanym w AUP lub UUP, strefę, rejon albo trasę uważa się za nieaktywne, a przestrzeń powietrzna przyjmuje klasę przestrzeni odpowiednią do zapewnianej ATS.</w:t>
      </w:r>
    </w:p>
    <w:p w14:paraId="6664226F" w14:textId="77777777" w:rsidR="009302F6" w:rsidRPr="00E6327D" w:rsidRDefault="009302F6" w:rsidP="009302F6">
      <w:pPr>
        <w:pStyle w:val="USTustnpkodeksu"/>
      </w:pPr>
      <w:r>
        <w:t>8</w:t>
      </w:r>
      <w:r w:rsidRPr="00E6327D">
        <w:t xml:space="preserve">. Zezwolenie, o którym mowa w ust. </w:t>
      </w:r>
      <w:r>
        <w:t>6</w:t>
      </w:r>
      <w:r w:rsidRPr="00E6327D">
        <w:t>, nie może zostać wydane, jeżeli wprowadzałoby dodatkowe ograniczenia w przestrzeni niekontrolowanej lub pozostawało w kolizji z innymi strukturami przestrzeni powietrznej opublikowanymi w AUP lub UUP.</w:t>
      </w:r>
    </w:p>
    <w:p w14:paraId="2A89F70F" w14:textId="77777777" w:rsidR="009302F6" w:rsidRPr="00E6327D" w:rsidRDefault="009302F6" w:rsidP="009302F6">
      <w:pPr>
        <w:pStyle w:val="USTustnpkodeksu"/>
      </w:pPr>
      <w:r>
        <w:t>9</w:t>
      </w:r>
      <w:r w:rsidRPr="00E6327D">
        <w:t xml:space="preserve">. </w:t>
      </w:r>
      <w:r>
        <w:t xml:space="preserve">Korzystanie z </w:t>
      </w:r>
      <w:r w:rsidRPr="00E6327D">
        <w:t>TSA</w:t>
      </w:r>
      <w:r>
        <w:t>,</w:t>
      </w:r>
      <w:r w:rsidRPr="00E6327D">
        <w:t xml:space="preserve"> TRA </w:t>
      </w:r>
      <w:r>
        <w:t xml:space="preserve">lub CBA </w:t>
      </w:r>
      <w:r w:rsidRPr="00E6327D">
        <w:t>może być zróżnicowane pod względem czasowym i wysokościowym.</w:t>
      </w:r>
    </w:p>
    <w:p w14:paraId="09D7C229" w14:textId="77777777" w:rsidR="009302F6" w:rsidRPr="00E6327D" w:rsidRDefault="009302F6" w:rsidP="009302F6">
      <w:pPr>
        <w:pStyle w:val="USTustnpkodeksu"/>
      </w:pPr>
      <w:r>
        <w:lastRenderedPageBreak/>
        <w:t>10</w:t>
      </w:r>
      <w:r w:rsidRPr="00E6327D">
        <w:t xml:space="preserve">. Aktywność w strefach, rejonach lub trasach, o których mowa w § 16 ust. 3, jest planowana tylko na czas niezbędny, dostosowany do rodzaju działań. Po zakończeniu </w:t>
      </w:r>
      <w:r>
        <w:t xml:space="preserve">działań </w:t>
      </w:r>
      <w:r w:rsidRPr="00E6327D">
        <w:t>dany element jest nieaktywny</w:t>
      </w:r>
      <w:r>
        <w:t>, a przestrzeń powietrzna przyjmuje klasę przestrzeni właściwą do zapewnianej ATS</w:t>
      </w:r>
      <w:r w:rsidRPr="00E6327D">
        <w:t>.</w:t>
      </w:r>
    </w:p>
    <w:p w14:paraId="35404BDA" w14:textId="77777777" w:rsidR="009302F6" w:rsidRPr="00E6327D" w:rsidRDefault="009302F6" w:rsidP="009302F6">
      <w:pPr>
        <w:pStyle w:val="USTustnpkodeksu"/>
      </w:pPr>
      <w:r w:rsidRPr="00E6327D">
        <w:t>1</w:t>
      </w:r>
      <w:r>
        <w:t>1</w:t>
      </w:r>
      <w:r w:rsidRPr="00E6327D">
        <w:t>. Użytkownicy przestrzeni powietrznej przy zamawianiu TSA, TRA lub CBA  uwzględniają segmenty tych stref oraz różne przedziały wysokości</w:t>
      </w:r>
      <w:r>
        <w:t>,</w:t>
      </w:r>
      <w:r w:rsidRPr="00E6327D">
        <w:t xml:space="preserve"> stosownie do rodzaju prowadzonych w nich działań.</w:t>
      </w:r>
    </w:p>
    <w:p w14:paraId="7EAAC36E" w14:textId="77777777" w:rsidR="009302F6" w:rsidRPr="00E6327D" w:rsidRDefault="009302F6" w:rsidP="009302F6">
      <w:pPr>
        <w:pStyle w:val="USTustnpkodeksu"/>
      </w:pPr>
      <w:r w:rsidRPr="00E6327D">
        <w:t>1</w:t>
      </w:r>
      <w:r>
        <w:t>2</w:t>
      </w:r>
      <w:r w:rsidRPr="00E6327D">
        <w:t>. Lot między wydzielonymi strefami i rejonami, dolot i powrót z tych stref i rejonów, poza TFR, odbywa się na zasadach obowiązujących w danej klasie przestrzeni powietrznej.</w:t>
      </w:r>
    </w:p>
    <w:p w14:paraId="78185FF9" w14:textId="77777777" w:rsidR="009302F6" w:rsidRPr="00E6327D" w:rsidRDefault="009302F6" w:rsidP="009302F6">
      <w:pPr>
        <w:pStyle w:val="USTustnpkodeksu"/>
      </w:pPr>
      <w:r w:rsidRPr="00E6327D">
        <w:t>1</w:t>
      </w:r>
      <w:r>
        <w:t>3</w:t>
      </w:r>
      <w:r w:rsidRPr="00E6327D">
        <w:t>. </w:t>
      </w:r>
      <w:r>
        <w:t>Zamówienie</w:t>
      </w:r>
      <w:r w:rsidRPr="00E6327D">
        <w:t xml:space="preserve"> TFR </w:t>
      </w:r>
      <w:r>
        <w:t xml:space="preserve">może dotyczyć tylko </w:t>
      </w:r>
      <w:r w:rsidRPr="00E6327D">
        <w:t>jed</w:t>
      </w:r>
      <w:r>
        <w:t>nej</w:t>
      </w:r>
      <w:r w:rsidRPr="00E6327D">
        <w:t xml:space="preserve"> wysokości </w:t>
      </w:r>
      <w:r>
        <w:t>potrzebnej użytkownikowi do wykonania lotu na jednej stałej wysokości</w:t>
      </w:r>
      <w:r w:rsidRPr="00E6327D">
        <w:t>.</w:t>
      </w:r>
    </w:p>
    <w:p w14:paraId="5A26CDF7" w14:textId="77777777" w:rsidR="009302F6" w:rsidRPr="00E6327D" w:rsidRDefault="009302F6" w:rsidP="009302F6">
      <w:pPr>
        <w:pStyle w:val="USTustnpkodeksu"/>
      </w:pPr>
      <w:r w:rsidRPr="00E6327D">
        <w:t>1</w:t>
      </w:r>
      <w:r>
        <w:t>4</w:t>
      </w:r>
      <w:r w:rsidRPr="00E6327D">
        <w:t xml:space="preserve">. Loty w strefach, rejonach lub trasach, o których mowa w § 16 ust. 3, powinny być rozpoczęte w ciągu 30 minut od planowanej godziny ich rozpoczęcia. </w:t>
      </w:r>
    </w:p>
    <w:p w14:paraId="1DB855F9" w14:textId="77777777" w:rsidR="009302F6" w:rsidRPr="00E6327D" w:rsidRDefault="009302F6" w:rsidP="009302F6">
      <w:pPr>
        <w:pStyle w:val="USTustnpkodeksu"/>
      </w:pPr>
      <w:r w:rsidRPr="00E6327D">
        <w:t>1</w:t>
      </w:r>
      <w:r>
        <w:t>5</w:t>
      </w:r>
      <w:r w:rsidRPr="00E6327D">
        <w:t>. Po przekroczeniu limitu czasu określonego w ust. 1</w:t>
      </w:r>
      <w:r>
        <w:t>4</w:t>
      </w:r>
      <w:r w:rsidRPr="00E6327D">
        <w:t xml:space="preserve"> wymagane jest ponowne uzyskanie zezwolenia od AMC Polska.</w:t>
      </w:r>
    </w:p>
    <w:p w14:paraId="43C6F1BF" w14:textId="77777777" w:rsidR="009302F6" w:rsidRPr="00E6327D" w:rsidRDefault="009302F6" w:rsidP="009302F6">
      <w:pPr>
        <w:pStyle w:val="USTustnpkodeksu"/>
      </w:pPr>
      <w:r w:rsidRPr="00E6327D">
        <w:t>1</w:t>
      </w:r>
      <w:r>
        <w:t>6</w:t>
      </w:r>
      <w:r w:rsidRPr="00E6327D">
        <w:t xml:space="preserve">. Jednoczesne </w:t>
      </w:r>
      <w:r>
        <w:t xml:space="preserve">korzystanie z </w:t>
      </w:r>
      <w:r w:rsidRPr="00E6327D">
        <w:t>tych samych segmentów TSA, TRA</w:t>
      </w:r>
      <w:r>
        <w:t>,</w:t>
      </w:r>
      <w:r w:rsidRPr="00E6327D">
        <w:t xml:space="preserve"> CBA </w:t>
      </w:r>
      <w:r>
        <w:t xml:space="preserve">lub innych stref wzajemnie kolidujących, </w:t>
      </w:r>
      <w:r w:rsidRPr="00E6327D">
        <w:t xml:space="preserve">przez różnych użytkowników jest możliwe na </w:t>
      </w:r>
      <w:r>
        <w:t>zasadach</w:t>
      </w:r>
      <w:r w:rsidRPr="00E6327D">
        <w:t xml:space="preserve"> określonych przez AMC Polska</w:t>
      </w:r>
      <w:r>
        <w:t xml:space="preserve">, </w:t>
      </w:r>
      <w:r w:rsidRPr="00F26691">
        <w:t xml:space="preserve">pod warunkiem wskazania przez użytkowników jednego </w:t>
      </w:r>
      <w:r>
        <w:t>podmiotu</w:t>
      </w:r>
      <w:r w:rsidRPr="00F26691">
        <w:t xml:space="preserve"> bezpośrednio kierującego działaniami w zamawianych segmentach.</w:t>
      </w:r>
    </w:p>
    <w:p w14:paraId="42350062" w14:textId="21FBED54" w:rsidR="009302F6" w:rsidRDefault="009302F6" w:rsidP="009302F6">
      <w:pPr>
        <w:pStyle w:val="ARTartustawynprozporzdzenia"/>
      </w:pPr>
      <w:r w:rsidRPr="00871B15">
        <w:rPr>
          <w:rStyle w:val="Ppogrubienie"/>
        </w:rPr>
        <w:t>§ 20.</w:t>
      </w:r>
      <w:r w:rsidRPr="00E6327D">
        <w:t xml:space="preserve"> 1. W przypadku </w:t>
      </w:r>
      <w:r w:rsidRPr="00F76D15">
        <w:t>otrzymania</w:t>
      </w:r>
      <w:r w:rsidRPr="00E6327D">
        <w:t xml:space="preserve"> zamówień na korzystanie z </w:t>
      </w:r>
      <w:r w:rsidR="00887352">
        <w:t>s</w:t>
      </w:r>
      <w:r w:rsidR="00887352" w:rsidRPr="00887352">
        <w:t>egmentów lub stref</w:t>
      </w:r>
      <w:r>
        <w:t xml:space="preserve">, o których mowa w </w:t>
      </w:r>
      <w:r w:rsidRPr="0066781A">
        <w:t>§</w:t>
      </w:r>
      <w:r>
        <w:t xml:space="preserve"> 19 ust. 16,</w:t>
      </w:r>
      <w:r w:rsidRPr="00E6327D">
        <w:t xml:space="preserve"> na ten sam czas i przedział wysokości, AMC Polska, </w:t>
      </w:r>
      <w:r>
        <w:t xml:space="preserve">uwzględniając priorytety strategicznego zarządzania przestrzenią powietrzną oraz </w:t>
      </w:r>
      <w:r w:rsidRPr="00E6327D">
        <w:t>po zasięgnięciu opinii zainteresowanych użytkowników tej przestrzeni, ustala kolejność korzystania z danego elementu struktury przestrzeni powietrznej lub jego segmentu.</w:t>
      </w:r>
      <w:r>
        <w:t xml:space="preserve"> </w:t>
      </w:r>
    </w:p>
    <w:p w14:paraId="065C7AD5" w14:textId="58CC80BD" w:rsidR="009302F6" w:rsidRPr="00E6327D" w:rsidRDefault="009302F6" w:rsidP="009302F6">
      <w:pPr>
        <w:pStyle w:val="ARTartustawynprozporzdzenia"/>
      </w:pPr>
      <w:r>
        <w:t xml:space="preserve">2. </w:t>
      </w:r>
      <w:r w:rsidRPr="00F26691">
        <w:t xml:space="preserve">Aktywacja i dezaktywacja </w:t>
      </w:r>
      <w:r w:rsidR="00887352">
        <w:t>segmentów lub stref</w:t>
      </w:r>
      <w:r>
        <w:t xml:space="preserve">, o których mowa w </w:t>
      </w:r>
      <w:r w:rsidRPr="0066781A">
        <w:t>§</w:t>
      </w:r>
      <w:r>
        <w:t xml:space="preserve"> 19 ust. 16,</w:t>
      </w:r>
      <w:r w:rsidRPr="00F26691">
        <w:t xml:space="preserve"> jest dokonywana na podstawie informacji od </w:t>
      </w:r>
      <w:r>
        <w:t>podmiotu</w:t>
      </w:r>
      <w:r w:rsidRPr="00F26691">
        <w:t xml:space="preserve"> bezpośrednio kierującego działaniami</w:t>
      </w:r>
      <w:r>
        <w:t>.</w:t>
      </w:r>
    </w:p>
    <w:p w14:paraId="24E0FEF1" w14:textId="77777777" w:rsidR="009302F6" w:rsidRPr="00E6327D" w:rsidRDefault="009302F6" w:rsidP="009302F6">
      <w:pPr>
        <w:pStyle w:val="USTustnpkodeksu"/>
      </w:pPr>
      <w:r>
        <w:t>3</w:t>
      </w:r>
      <w:r w:rsidRPr="00E6327D">
        <w:t>. Użytkownik w dniu prowadzenia działań jest obowiązany do:</w:t>
      </w:r>
    </w:p>
    <w:p w14:paraId="66A13AEA" w14:textId="77777777" w:rsidR="009302F6" w:rsidRPr="00E6327D" w:rsidRDefault="009302F6" w:rsidP="009302F6">
      <w:pPr>
        <w:pStyle w:val="PKTpunkt"/>
      </w:pPr>
      <w:r w:rsidRPr="00E6327D">
        <w:t xml:space="preserve">1) </w:t>
      </w:r>
      <w:r>
        <w:tab/>
      </w:r>
      <w:r w:rsidRPr="00E6327D">
        <w:t>korzystania z przestrzeni powietrznej zgodnie z rezerwacją przestrzeni ujętą w AUP lub UUP;</w:t>
      </w:r>
    </w:p>
    <w:p w14:paraId="525E1B44" w14:textId="77777777" w:rsidR="009302F6" w:rsidRPr="00E6327D" w:rsidRDefault="009302F6" w:rsidP="009302F6">
      <w:pPr>
        <w:pStyle w:val="PKTpunkt"/>
      </w:pPr>
      <w:r w:rsidRPr="00E6327D">
        <w:t xml:space="preserve">2) </w:t>
      </w:r>
      <w:r>
        <w:tab/>
      </w:r>
      <w:r w:rsidRPr="00E6327D">
        <w:t xml:space="preserve">natychmiastowego zgłaszania do AMC Polska rzeczywistego czasu rozpoczęcia i zakończenia wszystkich działań w zarezerwowanych strefach, rejonach i trasach oraz </w:t>
      </w:r>
      <w:r w:rsidRPr="00E6327D">
        <w:lastRenderedPageBreak/>
        <w:t>przerw w korzystaniu z zarezerwowanej przestrzeni powietrznej wynoszących co najmniej 1 godzinę;</w:t>
      </w:r>
    </w:p>
    <w:p w14:paraId="7F48EDFE" w14:textId="77777777" w:rsidR="009302F6" w:rsidRPr="00E6327D" w:rsidRDefault="009302F6" w:rsidP="009302F6">
      <w:pPr>
        <w:pStyle w:val="PKTpunkt"/>
      </w:pPr>
      <w:r w:rsidRPr="00E6327D">
        <w:t xml:space="preserve">3) </w:t>
      </w:r>
      <w:r>
        <w:tab/>
      </w:r>
      <w:r w:rsidRPr="00E6327D">
        <w:t>zgłaszania potwierdzeń o planowanych działaniach 30 minut przed czasem aktywności stref, rejonów lub tras, zgodnym z AUP lub UUP;</w:t>
      </w:r>
    </w:p>
    <w:p w14:paraId="2BDF37DD" w14:textId="77777777" w:rsidR="009302F6" w:rsidRPr="00E6327D" w:rsidRDefault="009302F6" w:rsidP="009302F6">
      <w:pPr>
        <w:pStyle w:val="PKTpunkt"/>
      </w:pPr>
      <w:r w:rsidRPr="00E6327D">
        <w:t xml:space="preserve">4) </w:t>
      </w:r>
      <w:r>
        <w:tab/>
      </w:r>
      <w:r w:rsidRPr="00E6327D">
        <w:t>natychmiastowego odwoływania niewykorzystywanej przestrzeni powietrznej.</w:t>
      </w:r>
    </w:p>
    <w:p w14:paraId="2D6EE63D" w14:textId="77777777" w:rsidR="009302F6" w:rsidRPr="00E6327D" w:rsidRDefault="009302F6" w:rsidP="009302F6">
      <w:pPr>
        <w:pStyle w:val="ARTartustawynprozporzdzenia"/>
      </w:pPr>
      <w:r w:rsidRPr="00871B15">
        <w:rPr>
          <w:rStyle w:val="Ppogrubienie"/>
        </w:rPr>
        <w:t>§ 21.</w:t>
      </w:r>
      <w:r w:rsidRPr="00E6327D">
        <w:t xml:space="preserve"> 1. Dla bieżącej koordynacji zadań wykonywanych przez </w:t>
      </w:r>
      <w:r w:rsidRPr="00F76D15">
        <w:t>wojskowe</w:t>
      </w:r>
      <w:r w:rsidRPr="00E6327D">
        <w:t xml:space="preserve"> i cywilne statki powietrzne na lotniskach lub z lotnisk, na których służba kontroli lotniska jest zapewniana przez Instytucję, w okresie trwania lotów szkolnych, ćwiczeń lub treningów, organizator lotów wyznacza instruktora–pilota.</w:t>
      </w:r>
    </w:p>
    <w:p w14:paraId="12837A8B" w14:textId="77777777" w:rsidR="009302F6" w:rsidRPr="00E6327D" w:rsidRDefault="009302F6" w:rsidP="009302F6">
      <w:pPr>
        <w:pStyle w:val="USTustnpkodeksu"/>
      </w:pPr>
      <w:r w:rsidRPr="00E6327D">
        <w:t>2. Instruktor–pilot w czasie trwania lotów, o których mowa w ust. 1, podlega merytorycznie kontrolerowi lotniska.</w:t>
      </w:r>
    </w:p>
    <w:p w14:paraId="5900EBCE" w14:textId="77777777" w:rsidR="009302F6" w:rsidRPr="00E6327D" w:rsidRDefault="009302F6" w:rsidP="009302F6">
      <w:pPr>
        <w:pStyle w:val="USTustnpkodeksu"/>
      </w:pPr>
      <w:r w:rsidRPr="00E6327D">
        <w:t>3. Instruktor–pilot jest odpowiedzialny za udzielanie pomocy załodze znajdującej się w sytuacji szczególnej, gdy załoga takiej pomocy potrzebuje.</w:t>
      </w:r>
    </w:p>
    <w:p w14:paraId="1363185A" w14:textId="77777777" w:rsidR="009302F6" w:rsidRPr="00E6327D" w:rsidRDefault="009302F6" w:rsidP="009302F6">
      <w:pPr>
        <w:pStyle w:val="USTustnpkodeksu"/>
      </w:pPr>
      <w:r w:rsidRPr="00E6327D">
        <w:t>4. Instruktor–pilot może udzielać wskazówek, instrukcji, rad, poleceń czy komend, związanych z pilotowaniem statku powietrznego, niestanowiących poleceń lub zezwoleń kontrolera lotniska, o którym mowa w ust. 2.</w:t>
      </w:r>
    </w:p>
    <w:p w14:paraId="5BA9F85B" w14:textId="77777777" w:rsidR="009302F6" w:rsidRPr="00E6327D" w:rsidRDefault="009302F6" w:rsidP="009302F6">
      <w:pPr>
        <w:pStyle w:val="ARTartustawynprozporzdzenia"/>
      </w:pPr>
      <w:r w:rsidRPr="00871B15">
        <w:rPr>
          <w:rStyle w:val="Ppogrubienie"/>
        </w:rPr>
        <w:t>§ 22.</w:t>
      </w:r>
      <w:r w:rsidRPr="00E6327D">
        <w:t xml:space="preserve"> 1. </w:t>
      </w:r>
      <w:r>
        <w:t xml:space="preserve">Na podstawie złożonych zamówień i ustaleniu kolejności korzystania z danego elementu struktury przestrzeni powietrznej lub jego segmentu, </w:t>
      </w:r>
      <w:r w:rsidRPr="00E6327D">
        <w:t xml:space="preserve">AMC Polska na dzień przed planowaną aktywnością lotniczą </w:t>
      </w:r>
      <w:r w:rsidRPr="00F76D15">
        <w:t>publikuje</w:t>
      </w:r>
      <w:r w:rsidRPr="00E6327D">
        <w:t xml:space="preserve"> AUP.</w:t>
      </w:r>
    </w:p>
    <w:p w14:paraId="22A995B9" w14:textId="77777777" w:rsidR="009302F6" w:rsidRDefault="009302F6" w:rsidP="009302F6">
      <w:pPr>
        <w:pStyle w:val="USTustnpkodeksu"/>
      </w:pPr>
      <w:r w:rsidRPr="00E6327D">
        <w:t>2. AMC Polska dla zmian przydziału przestrzeni powietrznej publikuje UUP.</w:t>
      </w:r>
    </w:p>
    <w:p w14:paraId="5EE1ABCD" w14:textId="77777777" w:rsidR="009302F6" w:rsidRPr="00E6327D" w:rsidRDefault="009302F6" w:rsidP="009302F6">
      <w:pPr>
        <w:pStyle w:val="ROZDZODDZOZNoznaczenierozdziauluboddziau"/>
      </w:pPr>
      <w:r w:rsidRPr="00E6327D">
        <w:t xml:space="preserve">Rozdział 4 </w:t>
      </w:r>
    </w:p>
    <w:p w14:paraId="1288D043" w14:textId="77777777" w:rsidR="009302F6" w:rsidRDefault="009302F6" w:rsidP="009302F6">
      <w:pPr>
        <w:pStyle w:val="ROZDZODDZPRZEDMprzedmiotregulacjirozdziauluboddziau"/>
      </w:pPr>
      <w:r w:rsidRPr="00E6327D">
        <w:t>Korzystanie z przestrzeni powietrznej przez statki powietrzne z przyznanym statusem</w:t>
      </w:r>
    </w:p>
    <w:p w14:paraId="25AA4653" w14:textId="77777777" w:rsidR="009302F6" w:rsidRPr="00E6327D" w:rsidRDefault="009302F6" w:rsidP="009302F6">
      <w:pPr>
        <w:pStyle w:val="ARTartustawynprozporzdzenia"/>
      </w:pPr>
      <w:r w:rsidRPr="00871B15">
        <w:rPr>
          <w:rStyle w:val="Ppogrubienie"/>
        </w:rPr>
        <w:t>§ 23.</w:t>
      </w:r>
      <w:r w:rsidRPr="00E6327D">
        <w:t xml:space="preserve"> 1. W FIR Warszawa zgłoszenie statusu lotu statku powietrznego </w:t>
      </w:r>
      <w:r w:rsidRPr="00F76D15">
        <w:t>Instytucji</w:t>
      </w:r>
      <w:r w:rsidRPr="00E6327D">
        <w:t xml:space="preserve"> następuje zgodnie z procedurą opublikowaną w </w:t>
      </w:r>
      <w:r w:rsidRPr="00486083">
        <w:t xml:space="preserve">Zintegrowanym Pakiecie </w:t>
      </w:r>
      <w:r>
        <w:t xml:space="preserve">Informacji Lotniczych, w części </w:t>
      </w:r>
      <w:r w:rsidRPr="00486083">
        <w:t>Zbiór Informacji Lotniczych</w:t>
      </w:r>
      <w:r>
        <w:t xml:space="preserve"> (</w:t>
      </w:r>
      <w:r w:rsidRPr="00E6327D">
        <w:t>AIP Polska</w:t>
      </w:r>
      <w:r>
        <w:t>)</w:t>
      </w:r>
      <w:r w:rsidRPr="00E6327D">
        <w:t>.</w:t>
      </w:r>
    </w:p>
    <w:p w14:paraId="1058A989" w14:textId="77777777" w:rsidR="009302F6" w:rsidRPr="00E6327D" w:rsidRDefault="009302F6" w:rsidP="009302F6">
      <w:pPr>
        <w:pStyle w:val="USTustnpkodeksu"/>
      </w:pPr>
      <w:r w:rsidRPr="00E6327D">
        <w:t>2. Określenie statusu wpisuje się do planu lotu.</w:t>
      </w:r>
    </w:p>
    <w:p w14:paraId="346C95E8" w14:textId="77777777" w:rsidR="009302F6" w:rsidRPr="00E6327D" w:rsidRDefault="009302F6" w:rsidP="009302F6">
      <w:pPr>
        <w:pStyle w:val="ARTartustawynprozporzdzenia"/>
      </w:pPr>
      <w:r w:rsidRPr="00871B15">
        <w:rPr>
          <w:rStyle w:val="Ppogrubienie"/>
        </w:rPr>
        <w:t>§ 24.</w:t>
      </w:r>
      <w:r w:rsidRPr="00E6327D">
        <w:t xml:space="preserve"> 1. Lot statku powietrznego, na którego pokładzie </w:t>
      </w:r>
      <w:r w:rsidRPr="00F76D15">
        <w:t>znajdują</w:t>
      </w:r>
      <w:r w:rsidRPr="00E6327D">
        <w:t xml:space="preserve"> się:</w:t>
      </w:r>
    </w:p>
    <w:p w14:paraId="44BFB468" w14:textId="77777777" w:rsidR="009302F6" w:rsidRPr="00E6327D" w:rsidRDefault="009302F6" w:rsidP="009302F6">
      <w:pPr>
        <w:pStyle w:val="PKTpunkt"/>
      </w:pPr>
      <w:r w:rsidRPr="00E6327D">
        <w:t>1)</w:t>
      </w:r>
      <w:r w:rsidRPr="00E6327D">
        <w:tab/>
        <w:t>Prezydent Rzeczypospolitej Polskiej,</w:t>
      </w:r>
    </w:p>
    <w:p w14:paraId="0978CC6E" w14:textId="77777777" w:rsidR="009302F6" w:rsidRPr="00E6327D" w:rsidRDefault="009302F6" w:rsidP="009302F6">
      <w:pPr>
        <w:pStyle w:val="PKTpunkt"/>
      </w:pPr>
      <w:r w:rsidRPr="00E6327D">
        <w:t>2)</w:t>
      </w:r>
      <w:r w:rsidRPr="00E6327D">
        <w:tab/>
        <w:t>Prezes Rady Ministrów,</w:t>
      </w:r>
    </w:p>
    <w:p w14:paraId="7A4758D8" w14:textId="77777777" w:rsidR="009302F6" w:rsidRPr="00E6327D" w:rsidRDefault="009302F6" w:rsidP="009302F6">
      <w:pPr>
        <w:pStyle w:val="PKTpunkt"/>
      </w:pPr>
      <w:r w:rsidRPr="00E6327D">
        <w:t>3)</w:t>
      </w:r>
      <w:r w:rsidRPr="00E6327D">
        <w:tab/>
        <w:t>Marszałek Sejmu Rzeczypospolitej Polskiej,</w:t>
      </w:r>
    </w:p>
    <w:p w14:paraId="1E286236" w14:textId="77777777" w:rsidR="009302F6" w:rsidRPr="00E6327D" w:rsidRDefault="009302F6" w:rsidP="009302F6">
      <w:pPr>
        <w:pStyle w:val="PKTpunkt"/>
      </w:pPr>
      <w:r w:rsidRPr="00E6327D">
        <w:t>4)</w:t>
      </w:r>
      <w:r w:rsidRPr="00E6327D">
        <w:tab/>
        <w:t>Marszałek Senatu Rzeczypospolitej Polskiej,</w:t>
      </w:r>
    </w:p>
    <w:p w14:paraId="0E4C8251" w14:textId="77777777" w:rsidR="009302F6" w:rsidRPr="00E6327D" w:rsidRDefault="009302F6" w:rsidP="009302F6">
      <w:pPr>
        <w:pStyle w:val="PKTpunkt"/>
      </w:pPr>
      <w:r w:rsidRPr="00E6327D">
        <w:lastRenderedPageBreak/>
        <w:t>5)</w:t>
      </w:r>
      <w:r w:rsidRPr="00E6327D">
        <w:tab/>
        <w:t>osoby zgłaszane drogą dyplomatyczną do ministerstwa obsługującego ministra właściwego do spraw zagranicznych, będące odpowiednikami osób, o których mowa w pkt 1–4, z państw obcych</w:t>
      </w:r>
    </w:p>
    <w:p w14:paraId="283028F5" w14:textId="77777777" w:rsidR="009302F6" w:rsidRPr="00E6327D" w:rsidRDefault="009302F6" w:rsidP="009302F6">
      <w:pPr>
        <w:pStyle w:val="CZWSPPKTczwsplnapunktw"/>
      </w:pPr>
      <w:r w:rsidRPr="00E6327D">
        <w:t>– wykonywany w misji oficjalnej posiada status HEAD.</w:t>
      </w:r>
    </w:p>
    <w:p w14:paraId="5A9FF613" w14:textId="77777777" w:rsidR="009302F6" w:rsidRPr="00E6327D" w:rsidRDefault="009302F6" w:rsidP="009302F6">
      <w:pPr>
        <w:pStyle w:val="USTustnpkodeksu"/>
      </w:pPr>
      <w:r w:rsidRPr="00E6327D">
        <w:t xml:space="preserve">2. Status HEAD dla lotów polskich statków powietrznych nadaje </w:t>
      </w:r>
      <w:r>
        <w:t>Komendant Służby Ochrony Państwa</w:t>
      </w:r>
      <w:r w:rsidRPr="00E6327D">
        <w:t xml:space="preserve">, który informuje Instytucję o statkach powietrznych wykonujących lot o tym statusie. </w:t>
      </w:r>
    </w:p>
    <w:p w14:paraId="45B02426" w14:textId="77777777" w:rsidR="009302F6" w:rsidRPr="00E6327D" w:rsidRDefault="009302F6" w:rsidP="009302F6">
      <w:pPr>
        <w:pStyle w:val="USTustnpkodeksu"/>
      </w:pPr>
      <w:r w:rsidRPr="00E6327D">
        <w:t>3.</w:t>
      </w:r>
      <w:r w:rsidR="00883BE9">
        <w:t xml:space="preserve"> </w:t>
      </w:r>
      <w:r w:rsidRPr="00E6327D">
        <w:t xml:space="preserve">Informacje o osobach znajdujących się na pokładzie statku powietrznego przekazują do </w:t>
      </w:r>
      <w:r>
        <w:t xml:space="preserve">Komendanta Służby Ochrony Państwa </w:t>
      </w:r>
      <w:r w:rsidRPr="00E6327D">
        <w:t>odpowiednie organy i podmioty nie później niż 1 dzień przed planowanym lotem.</w:t>
      </w:r>
    </w:p>
    <w:p w14:paraId="11679934" w14:textId="77777777" w:rsidR="009302F6" w:rsidRPr="00E6327D" w:rsidRDefault="009302F6" w:rsidP="009302F6">
      <w:pPr>
        <w:pStyle w:val="ARTartustawynprozporzdzenia"/>
      </w:pPr>
      <w:r w:rsidRPr="00871B15">
        <w:rPr>
          <w:rStyle w:val="Ppogrubienie"/>
        </w:rPr>
        <w:t>§ 25.</w:t>
      </w:r>
      <w:r w:rsidRPr="00E6327D">
        <w:t xml:space="preserve"> W przypadku wykonywania lotu o statusie STATE wymagającego </w:t>
      </w:r>
      <w:r w:rsidRPr="00F76D15">
        <w:t>zwolnienia</w:t>
      </w:r>
      <w:r w:rsidRPr="00E6327D">
        <w:t xml:space="preserve"> z ograniczeń ATFM, operator statku powietrznego może otrzymać od Instytucji dla tego lotu status ATFMX po zgłoszeniu w miarę możliwości </w:t>
      </w:r>
      <w:r>
        <w:t>co najmniej</w:t>
      </w:r>
      <w:r w:rsidRPr="00E6327D">
        <w:t xml:space="preserve"> </w:t>
      </w:r>
      <w:r>
        <w:t>3</w:t>
      </w:r>
      <w:r w:rsidRPr="00E6327D">
        <w:t xml:space="preserve"> godziny przed lotem.</w:t>
      </w:r>
    </w:p>
    <w:p w14:paraId="4E6D19BC" w14:textId="77777777" w:rsidR="009302F6" w:rsidRPr="00E6327D" w:rsidRDefault="009302F6" w:rsidP="009302F6">
      <w:pPr>
        <w:pStyle w:val="ARTartustawynprozporzdzenia"/>
      </w:pPr>
      <w:r w:rsidRPr="00871B15">
        <w:rPr>
          <w:rStyle w:val="Ppogrubienie"/>
        </w:rPr>
        <w:t>§ 26.</w:t>
      </w:r>
      <w:r w:rsidRPr="00E6327D">
        <w:t xml:space="preserve"> 1. Statusy SAR, FFR lub MEDEVAC mogą być zgłoszone przez załogę </w:t>
      </w:r>
      <w:r w:rsidRPr="00F76D15">
        <w:t>statku</w:t>
      </w:r>
      <w:r w:rsidRPr="00E6327D">
        <w:t xml:space="preserve"> powietrznego organowi ATS drogą radiową.</w:t>
      </w:r>
    </w:p>
    <w:p w14:paraId="4A8123D4" w14:textId="77777777" w:rsidR="009302F6" w:rsidRPr="00E6327D" w:rsidRDefault="009302F6" w:rsidP="009302F6">
      <w:pPr>
        <w:pStyle w:val="USTustnpkodeksu"/>
      </w:pPr>
      <w:r w:rsidRPr="00E6327D">
        <w:t xml:space="preserve">2. Status SAR jest nadawany przez </w:t>
      </w:r>
      <w:r>
        <w:t>cywilno-wojskowy ośrodek koordynacji poszukiwania i ratownictwa lotniczego, o którym mowa w art. 140a ust. 5 pkt 1 ustawy</w:t>
      </w:r>
      <w:r w:rsidRPr="00E6327D">
        <w:t>.</w:t>
      </w:r>
    </w:p>
    <w:p w14:paraId="57485062" w14:textId="77777777" w:rsidR="009302F6" w:rsidRPr="00E6327D" w:rsidRDefault="009302F6" w:rsidP="009302F6">
      <w:pPr>
        <w:pStyle w:val="USTustnpkodeksu"/>
      </w:pPr>
      <w:r w:rsidRPr="00E6327D">
        <w:t>3. Status FFR jest nadawany przez Dyżurnego Operacyjnego Stanowiska Kierowania Komendanta Głównego Państwowej Straży Pożarnej lub organ właściwy w zakresie krajowej koordynacji ratownictwa.</w:t>
      </w:r>
    </w:p>
    <w:p w14:paraId="0C40ADAD" w14:textId="77777777" w:rsidR="009302F6" w:rsidRPr="00E6327D" w:rsidRDefault="009302F6" w:rsidP="009302F6">
      <w:pPr>
        <w:pStyle w:val="USTustnpkodeksu"/>
      </w:pPr>
      <w:r w:rsidRPr="00E6327D">
        <w:t>4. Status MEDEVAC jest nadawany przez Rządowe Centrum Bezpieczeństwa, o którym mowa w art. 10 ustawy z dnia 26 kwietnia 2007 r. o zarządzaniu kryzysowym (Dz. U. z 2017 r. poz. 209</w:t>
      </w:r>
      <w:r>
        <w:t xml:space="preserve"> i 1566</w:t>
      </w:r>
      <w:r w:rsidRPr="00E6327D">
        <w:t>).</w:t>
      </w:r>
    </w:p>
    <w:p w14:paraId="285372CE" w14:textId="77777777" w:rsidR="009302F6" w:rsidRPr="00E6327D" w:rsidRDefault="009302F6" w:rsidP="009302F6">
      <w:pPr>
        <w:pStyle w:val="ARTartustawynprozporzdzenia"/>
      </w:pPr>
      <w:r w:rsidRPr="00871B15">
        <w:rPr>
          <w:rStyle w:val="Ppogrubienie"/>
        </w:rPr>
        <w:t>§ 27.</w:t>
      </w:r>
      <w:r w:rsidRPr="00E6327D">
        <w:t xml:space="preserve"> W przypadku wykonywania lotu o statusie HUM </w:t>
      </w:r>
      <w:r w:rsidRPr="00F76D15">
        <w:t>wymagającego</w:t>
      </w:r>
      <w:r w:rsidRPr="00E6327D">
        <w:t xml:space="preserve"> zwolnienia z ograniczeń ATFM, operator statku powietrznego może otrzymać od Instytucji dla tego lotu status ATFMX po zgłoszeniu </w:t>
      </w:r>
      <w:r>
        <w:t>co najmniej</w:t>
      </w:r>
      <w:r w:rsidRPr="00E6327D">
        <w:t xml:space="preserve"> </w:t>
      </w:r>
      <w:r>
        <w:t>3</w:t>
      </w:r>
      <w:r w:rsidRPr="00E6327D">
        <w:t xml:space="preserve"> godziny przed lotem.</w:t>
      </w:r>
    </w:p>
    <w:p w14:paraId="24682214" w14:textId="77777777" w:rsidR="009302F6" w:rsidRPr="00E6327D" w:rsidRDefault="009302F6" w:rsidP="009302F6">
      <w:pPr>
        <w:pStyle w:val="ARTartustawynprozporzdzenia"/>
      </w:pPr>
      <w:r w:rsidRPr="008530F5">
        <w:rPr>
          <w:rStyle w:val="Ppogrubienie"/>
        </w:rPr>
        <w:t>§ 28.</w:t>
      </w:r>
      <w:r w:rsidRPr="00E6327D">
        <w:t xml:space="preserve"> W przypadku wykonywania lotu o statusie </w:t>
      </w:r>
      <w:r w:rsidRPr="00F76D15">
        <w:t>HOSP</w:t>
      </w:r>
      <w:r w:rsidRPr="00E6327D">
        <w:t xml:space="preserve"> z chorym wymagającym niezwłocznego przetransportowania do szpitala, </w:t>
      </w:r>
      <w:r>
        <w:t>wymagającego zwolnienia z ograniczeń ATFM</w:t>
      </w:r>
      <w:r w:rsidRPr="00E6327D">
        <w:t xml:space="preserve">, operator statku powietrznego może otrzymać od Instytucji dla tego lotu status ATFMX po zgłoszeniu w miarę możliwości </w:t>
      </w:r>
      <w:r>
        <w:t>co najmniej 3</w:t>
      </w:r>
      <w:r w:rsidRPr="00E6327D">
        <w:t xml:space="preserve"> godziny przed lotem.</w:t>
      </w:r>
    </w:p>
    <w:p w14:paraId="49F0198E" w14:textId="77777777" w:rsidR="009302F6" w:rsidRPr="00E6327D" w:rsidRDefault="009302F6" w:rsidP="009302F6">
      <w:pPr>
        <w:pStyle w:val="ARTartustawynprozporzdzenia"/>
      </w:pPr>
      <w:r w:rsidRPr="00871B15">
        <w:rPr>
          <w:rStyle w:val="Ppogrubienie"/>
        </w:rPr>
        <w:t>§ 29.</w:t>
      </w:r>
      <w:r w:rsidRPr="00E6327D">
        <w:t xml:space="preserve"> W przypadku wykonywania lotu statkiem powietrznym według </w:t>
      </w:r>
      <w:r w:rsidRPr="00F76D15">
        <w:t>wskazań</w:t>
      </w:r>
      <w:r w:rsidRPr="00E6327D">
        <w:t xml:space="preserve"> przyrządów (IFR) w strefie zintegrowanego systemu wstępnego przetwarzania planów lotu, o </w:t>
      </w:r>
      <w:r w:rsidRPr="00E6327D">
        <w:lastRenderedPageBreak/>
        <w:t xml:space="preserve">którym mowa w art. 2 ust. 2 pkt 6 rozporządzenia (WE) nr 1033/2006 z dnia 4 lipca 2006 r. ustanawiającego wymogi dla procedur w zakresie przetwarzania planu lotu w fazie poprzedzającej lot dla Jednolitej Europejskiej Przestrzeni Powietrznej (Dz. Urz. UE L 186 z 07.07.2006, str. 46, z </w:t>
      </w:r>
      <w:proofErr w:type="spellStart"/>
      <w:r w:rsidRPr="00E6327D">
        <w:t>późn</w:t>
      </w:r>
      <w:proofErr w:type="spellEnd"/>
      <w:r w:rsidRPr="00E6327D">
        <w:t>. zm.</w:t>
      </w:r>
      <w:r>
        <w:rPr>
          <w:rStyle w:val="IGindeksgrny"/>
        </w:rPr>
        <w:t>4</w:t>
      </w:r>
      <w:r w:rsidRPr="00871B15">
        <w:rPr>
          <w:rStyle w:val="IGindeksgrny"/>
        </w:rPr>
        <w:t>)</w:t>
      </w:r>
      <w:r w:rsidRPr="00E6327D">
        <w:t xml:space="preserve">), na pokładzie którego znajdują się osoby, o których mowa w art. </w:t>
      </w:r>
      <w:r>
        <w:t>3</w:t>
      </w:r>
      <w:r w:rsidRPr="00E6327D">
        <w:t xml:space="preserve"> </w:t>
      </w:r>
      <w:r>
        <w:t>pkt 1 lit. a</w:t>
      </w:r>
      <w:r w:rsidRPr="004E7BC6">
        <w:t>–</w:t>
      </w:r>
      <w:r>
        <w:t>d ustawy z dnia 8 grudnia 2017 r. o Służbie Ochrony Państwa (Dz. U. z 2018 r. poz. 138)</w:t>
      </w:r>
      <w:r w:rsidRPr="00E6327D">
        <w:t xml:space="preserve">, z wyjątkiem osób określonych w § 24 ust. 1, wykonującego misję o ważnym znaczeniu operacyjnym lub przewożącego szczególnie niebezpieczne ładunki, można zastrzec szczególny sposób traktowania </w:t>
      </w:r>
      <w:r w:rsidR="003D172F">
        <w:t xml:space="preserve">postępowania </w:t>
      </w:r>
      <w:r w:rsidRPr="00E6327D">
        <w:t xml:space="preserve">poprzez wpisanie w polu 18 planu lotu wskaźnika EUR/PROTECTED. Instytucja otrzymuje informację o statusie lotu od służb podległych ministrowi właściwemu do spraw wewnętrznych po zgłoszeniu </w:t>
      </w:r>
      <w:r>
        <w:t>co najmniej 3</w:t>
      </w:r>
      <w:r w:rsidRPr="00E6327D">
        <w:t xml:space="preserve"> godziny przed lotem z podaniem sposobu szczególnego traktowania.</w:t>
      </w:r>
    </w:p>
    <w:p w14:paraId="1B113095" w14:textId="77777777" w:rsidR="009302F6" w:rsidRPr="00E6327D" w:rsidRDefault="009302F6" w:rsidP="009302F6">
      <w:pPr>
        <w:pStyle w:val="ARTartustawynprozporzdzenia"/>
      </w:pPr>
      <w:r w:rsidRPr="00871B15">
        <w:rPr>
          <w:rStyle w:val="Ppogrubienie"/>
        </w:rPr>
        <w:t>§ 30.</w:t>
      </w:r>
      <w:r w:rsidRPr="00E6327D">
        <w:t xml:space="preserve"> Statki powietrzne wykonujące loty o statusie ATFMX, FFR, HEAD, </w:t>
      </w:r>
      <w:r w:rsidRPr="00F76D15">
        <w:t>MEDEVAC</w:t>
      </w:r>
      <w:r w:rsidRPr="00E6327D">
        <w:t xml:space="preserve"> i SAR są </w:t>
      </w:r>
      <w:r>
        <w:t>zwalniane</w:t>
      </w:r>
      <w:r w:rsidRPr="00E6327D">
        <w:t xml:space="preserve"> z ograniczeń ATFM.</w:t>
      </w:r>
    </w:p>
    <w:p w14:paraId="7D818F5A" w14:textId="77777777" w:rsidR="009302F6" w:rsidRPr="00E6327D" w:rsidRDefault="009302F6" w:rsidP="009302F6">
      <w:pPr>
        <w:pStyle w:val="ARTartustawynprozporzdzenia"/>
      </w:pPr>
      <w:r w:rsidRPr="00871B15">
        <w:rPr>
          <w:rStyle w:val="Ppogrubienie"/>
        </w:rPr>
        <w:t>§ 31.</w:t>
      </w:r>
      <w:r w:rsidRPr="00E6327D">
        <w:t xml:space="preserve"> 1. </w:t>
      </w:r>
      <w:r w:rsidRPr="00F76D15">
        <w:t>Instytucja</w:t>
      </w:r>
      <w:r w:rsidRPr="00E6327D">
        <w:t xml:space="preserve"> prowadzi ewidencję lotów o statusie ATFMX, FFR, HEAD, MEDEVAC i SAR.</w:t>
      </w:r>
    </w:p>
    <w:p w14:paraId="6E657DFB" w14:textId="77777777" w:rsidR="009302F6" w:rsidRPr="00E6327D" w:rsidRDefault="009302F6" w:rsidP="009302F6">
      <w:pPr>
        <w:pStyle w:val="USTustnpkodeksu"/>
      </w:pPr>
      <w:r w:rsidRPr="00E6327D">
        <w:t>2. W przypadku lotów o statusie ATFMX w ewidencji wpisuje się przyczynę nadania tego statusu.</w:t>
      </w:r>
    </w:p>
    <w:p w14:paraId="469F03FD" w14:textId="77777777" w:rsidR="009302F6" w:rsidRPr="00E6327D" w:rsidRDefault="009302F6" w:rsidP="009302F6">
      <w:pPr>
        <w:pStyle w:val="ROZDZODDZOZNoznaczenierozdziauluboddziau"/>
      </w:pPr>
      <w:r w:rsidRPr="00E6327D">
        <w:t xml:space="preserve">Rozdział 5 </w:t>
      </w:r>
    </w:p>
    <w:p w14:paraId="5D68D9D9" w14:textId="77777777" w:rsidR="009302F6" w:rsidRPr="00E6327D" w:rsidRDefault="009302F6" w:rsidP="009302F6">
      <w:pPr>
        <w:pStyle w:val="ROZDZODDZPRZEDMprzedmiotregulacjirozdziauluboddziau"/>
      </w:pPr>
      <w:r w:rsidRPr="00E6327D">
        <w:t>Przepisy przejściowe i końcowe</w:t>
      </w:r>
    </w:p>
    <w:p w14:paraId="1A7A4AFA" w14:textId="77777777" w:rsidR="009302F6" w:rsidRPr="00E6327D" w:rsidRDefault="009302F6" w:rsidP="009302F6">
      <w:pPr>
        <w:pStyle w:val="ARTartustawynprozporzdzenia"/>
      </w:pPr>
      <w:r w:rsidRPr="00871B15">
        <w:rPr>
          <w:rStyle w:val="Ppogrubienie"/>
        </w:rPr>
        <w:t>§ 32.</w:t>
      </w:r>
      <w:r w:rsidRPr="00E6327D">
        <w:t> Do projektów lub propozycji struktury przestrzeni powietrznej, o których mowa w § 4 ust. 4, § 5 ust. 2, § 8 ust. 8, § 9 ust. 1</w:t>
      </w:r>
      <w:r>
        <w:t>,</w:t>
      </w:r>
      <w:r w:rsidRPr="00E6327D">
        <w:t xml:space="preserve"> lub ich zmian oraz projektów klasyfikacji przestrzeni powietrznej, o których mowa w § 7 ust. 2 rozporządzenia Ministra Infrastruktury z dnia 25 listopada 2008 r. w sprawie struktury polskiej przestrzeni powietrznej oraz szczegółowych warunków i sposobu korzystania z tej przestrzeni (Dz. U. z 2014 r. poz. 351), przedłożonych do akceptacji Prezesa Urzędu Lotnictwa Cywilnego przed dniem wejścia w życie niniejszego rozporządzenia stosuje się przepisy dotychczasowe.</w:t>
      </w:r>
    </w:p>
    <w:p w14:paraId="609B16EF" w14:textId="77777777" w:rsidR="009302F6" w:rsidRPr="00E6327D" w:rsidRDefault="009302F6" w:rsidP="009302F6">
      <w:pPr>
        <w:pStyle w:val="ARTartustawynprozporzdzenia"/>
      </w:pPr>
      <w:r w:rsidRPr="00871B15">
        <w:rPr>
          <w:rStyle w:val="Ppogrubienie"/>
        </w:rPr>
        <w:t>§ 33.</w:t>
      </w:r>
      <w:r w:rsidRPr="00E6327D">
        <w:t xml:space="preserve"> Traci moc rozporządzenie Ministra Infrastruktury z dnia 25 listopada </w:t>
      </w:r>
      <w:r w:rsidRPr="00F76D15">
        <w:t>2008</w:t>
      </w:r>
      <w:r w:rsidRPr="00E6327D">
        <w:t xml:space="preserve"> r. w sprawie struktury polskiej przestrzeni powietrznej oraz szczegółowych warunków i sposobu korzystania z tej przestrzeni (Dz. U. z 2014 r. poz. 351).</w:t>
      </w:r>
    </w:p>
    <w:p w14:paraId="38CBBEEB" w14:textId="77777777" w:rsidR="009302F6" w:rsidRPr="00E6327D" w:rsidRDefault="009302F6" w:rsidP="009302F6">
      <w:pPr>
        <w:pStyle w:val="ARTartustawynprozporzdzenia"/>
      </w:pPr>
      <w:r w:rsidRPr="00871B15">
        <w:rPr>
          <w:rStyle w:val="Ppogrubienie"/>
        </w:rPr>
        <w:t>§ 34.</w:t>
      </w:r>
      <w:r w:rsidRPr="00E6327D">
        <w:t xml:space="preserve"> Rozporządzenie wchodzi w życie po upływie </w:t>
      </w:r>
      <w:r>
        <w:t>30</w:t>
      </w:r>
      <w:r w:rsidRPr="00E6327D">
        <w:t xml:space="preserve"> dni od dnia </w:t>
      </w:r>
      <w:r w:rsidRPr="00F76D15">
        <w:t>ogłoszenia</w:t>
      </w:r>
      <w:r w:rsidRPr="00E6327D">
        <w:t>.</w:t>
      </w:r>
    </w:p>
    <w:p w14:paraId="7B680D04" w14:textId="77777777" w:rsidR="009302F6" w:rsidRPr="00021A5D" w:rsidRDefault="009302F6" w:rsidP="009302F6">
      <w:pPr>
        <w:pStyle w:val="NAZORGWYDnazwaorganuwydajcegoprojektowanyakt"/>
      </w:pPr>
      <w:r w:rsidRPr="00021A5D">
        <w:lastRenderedPageBreak/>
        <w:t xml:space="preserve">MINISTER INFRASTRUKTURY </w:t>
      </w:r>
    </w:p>
    <w:p w14:paraId="61C855E0" w14:textId="77777777" w:rsidR="009302F6" w:rsidRDefault="009302F6" w:rsidP="009302F6">
      <w:pPr>
        <w:pStyle w:val="TEKSTwporozumieniu"/>
      </w:pPr>
      <w:r>
        <w:t>W porozumieniu:</w:t>
      </w:r>
    </w:p>
    <w:p w14:paraId="5D93634A" w14:textId="77777777" w:rsidR="009302F6" w:rsidRDefault="009302F6" w:rsidP="009302F6">
      <w:pPr>
        <w:pStyle w:val="NAZORGWPOROZUMIENIUnazwaorganuwporozumieniuzktrymaktjestwydawany"/>
      </w:pPr>
      <w:r>
        <w:t>minister obrony narodowej</w:t>
      </w:r>
    </w:p>
    <w:p w14:paraId="7A5503D1" w14:textId="77777777" w:rsidR="009302F6" w:rsidRDefault="009302F6" w:rsidP="009302F6">
      <w:pPr>
        <w:pStyle w:val="NAZORGWPOROZUMIENIUnazwaorganuwporozumieniuzktrymaktjestwydawany"/>
      </w:pPr>
      <w:r>
        <w:t>minister spraw wewnetrznych i administracji</w:t>
      </w:r>
    </w:p>
    <w:p w14:paraId="2A806562" w14:textId="77777777" w:rsidR="009302F6" w:rsidRPr="00021A5D" w:rsidRDefault="009302F6" w:rsidP="009302F6">
      <w:pPr>
        <w:pStyle w:val="NAZORGWPOROZUMIENIUnazwaorganuwporozumieniuzktrymaktjestwydawany"/>
      </w:pPr>
      <w:r>
        <w:t>minister środowiska</w:t>
      </w:r>
    </w:p>
    <w:p w14:paraId="1ABE2F34" w14:textId="77777777" w:rsidR="009302F6" w:rsidRPr="001826A6" w:rsidRDefault="009302F6" w:rsidP="009302F6">
      <w:pPr>
        <w:pStyle w:val="OZNZACZNIKAwskazanienrzacznika"/>
      </w:pPr>
    </w:p>
    <w:p w14:paraId="0D25A620" w14:textId="77777777" w:rsidR="00261A16" w:rsidRPr="00737F6A" w:rsidRDefault="00261A16" w:rsidP="00737F6A"/>
    <w:sectPr w:rsidR="00261A16" w:rsidRPr="00737F6A" w:rsidSect="001A7F15">
      <w:headerReference w:type="default" r:id="rId10"/>
      <w:footnotePr>
        <w:numStart w:val="2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01F8A965" w15:done="0"/>
  <w15:commentEx w15:paraId="3B874AC1" w15:done="0"/>
  <w15:commentEx w15:paraId="504B9765" w15:done="0"/>
  <w15:commentEx w15:paraId="4689E310" w15:done="0"/>
  <w15:commentEx w15:paraId="32D8BA79" w15:done="0"/>
  <w15:commentEx w15:paraId="3F768FBF" w15:done="0"/>
  <w15:commentEx w15:paraId="4275596B" w15:done="0"/>
  <w15:commentEx w15:paraId="2AF43F34" w15:done="0"/>
  <w15:commentEx w15:paraId="772985DA" w15:done="0"/>
  <w15:commentEx w15:paraId="0F0105D8" w15:done="0"/>
  <w15:commentEx w15:paraId="3549D682" w15:done="0"/>
  <w15:commentEx w15:paraId="6CB7050D" w15:done="0"/>
  <w15:commentEx w15:paraId="4449BD08" w15:done="0"/>
  <w15:commentEx w15:paraId="5BE5B8BE" w15:done="0"/>
  <w15:commentEx w15:paraId="16ED2CE3" w15:done="0"/>
  <w15:commentEx w15:paraId="23DFCE78" w15:done="0"/>
  <w15:commentEx w15:paraId="5C008871" w15:done="0"/>
  <w15:commentEx w15:paraId="7949EF15" w15:done="0"/>
  <w15:commentEx w15:paraId="2465FE14" w15:done="0"/>
  <w15:commentEx w15:paraId="77D10C12" w15:done="0"/>
  <w15:commentEx w15:paraId="29C90155" w15:done="0"/>
  <w15:commentEx w15:paraId="1F44D7D9" w15:done="0"/>
  <w15:commentEx w15:paraId="2F195BA0" w15:done="0"/>
  <w15:commentEx w15:paraId="7ADCE103" w15:done="0"/>
  <w15:commentEx w15:paraId="06B132C5" w15:done="0"/>
  <w15:commentEx w15:paraId="56F55AA6" w15:done="0"/>
  <w15:commentEx w15:paraId="7306AC1A" w15:done="0"/>
  <w15:commentEx w15:paraId="62055E59" w15:done="0"/>
  <w15:commentEx w15:paraId="030174BF" w15:done="0"/>
  <w15:commentEx w15:paraId="69E872E4" w15:done="0"/>
  <w15:commentEx w15:paraId="158C74D1" w15:done="0"/>
  <w15:commentEx w15:paraId="486A3431" w15:done="0"/>
  <w15:commentEx w15:paraId="2D611378" w15:done="0"/>
  <w15:commentEx w15:paraId="0034AA01" w15:done="0"/>
  <w15:commentEx w15:paraId="7F6A9FCF" w15:done="0"/>
  <w15:commentEx w15:paraId="3881B1ED" w15:done="0"/>
  <w15:commentEx w15:paraId="62939E59" w15:done="0"/>
  <w15:commentEx w15:paraId="1BD375AF" w15:done="0"/>
  <w15:commentEx w15:paraId="1A56703A" w15:done="0"/>
  <w15:commentEx w15:paraId="2783D384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0044C9" w14:textId="77777777" w:rsidR="00615E40" w:rsidRDefault="00615E40">
      <w:r>
        <w:separator/>
      </w:r>
    </w:p>
  </w:endnote>
  <w:endnote w:type="continuationSeparator" w:id="0">
    <w:p w14:paraId="06316F0A" w14:textId="77777777" w:rsidR="00615E40" w:rsidRDefault="00615E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41C9F9" w14:textId="77777777" w:rsidR="00615E40" w:rsidRDefault="00615E40">
      <w:r>
        <w:separator/>
      </w:r>
    </w:p>
  </w:footnote>
  <w:footnote w:type="continuationSeparator" w:id="0">
    <w:p w14:paraId="36C20900" w14:textId="77777777" w:rsidR="00615E40" w:rsidRDefault="00615E40">
      <w:r>
        <w:continuationSeparator/>
      </w:r>
    </w:p>
  </w:footnote>
  <w:footnote w:id="1">
    <w:p w14:paraId="7E83964B" w14:textId="77777777" w:rsidR="009302F6" w:rsidRPr="00430BE9" w:rsidRDefault="009302F6" w:rsidP="009302F6">
      <w:pPr>
        <w:pStyle w:val="ODNONIKtreodnonika"/>
        <w:rPr>
          <w:highlight w:val="red"/>
        </w:rPr>
      </w:pPr>
      <w:r w:rsidRPr="00E103B1">
        <w:rPr>
          <w:rStyle w:val="Odwoanieprzypisudolnego"/>
        </w:rPr>
        <w:t>1)</w:t>
      </w:r>
      <w:r w:rsidRPr="00E103B1">
        <w:t xml:space="preserve"> </w:t>
      </w:r>
      <w:r>
        <w:tab/>
      </w:r>
      <w:r w:rsidRPr="00C60A26">
        <w:t>Minister Infrastruktury kieruje działem administracji rządowej – transport, na podstawie § 1 ust. 2 pkt 3 rozporządzenia Prezesa Rady Ministrów z dnia 1</w:t>
      </w:r>
      <w:r>
        <w:t>1</w:t>
      </w:r>
      <w:r w:rsidRPr="00C60A26">
        <w:t xml:space="preserve"> </w:t>
      </w:r>
      <w:r>
        <w:t>stycznia</w:t>
      </w:r>
      <w:r w:rsidRPr="00C60A26">
        <w:t xml:space="preserve"> 201</w:t>
      </w:r>
      <w:r>
        <w:t>8</w:t>
      </w:r>
      <w:r w:rsidRPr="00C60A26">
        <w:t xml:space="preserve"> r. w sprawie szczegółowego zakresu działania Ministra Infrastruktury (Dz. U. poz. </w:t>
      </w:r>
      <w:r>
        <w:t>101 i 176</w:t>
      </w:r>
      <w:r w:rsidRPr="00C60A26">
        <w:t>).</w:t>
      </w:r>
    </w:p>
  </w:footnote>
  <w:footnote w:id="2">
    <w:p w14:paraId="1929C8B7" w14:textId="77777777" w:rsidR="00D64477" w:rsidRDefault="00D64477" w:rsidP="00D64477">
      <w:pPr>
        <w:pStyle w:val="ODNONIKtreodnonika"/>
      </w:pPr>
      <w:r>
        <w:rPr>
          <w:rStyle w:val="Odwoanieprzypisudolnego"/>
        </w:rPr>
        <w:footnoteRef/>
      </w:r>
      <w:r w:rsidR="004A6C88" w:rsidRPr="004A6C88">
        <w:rPr>
          <w:rStyle w:val="IGindeksgrny"/>
        </w:rPr>
        <w:t>)</w:t>
      </w:r>
      <w:r>
        <w:t xml:space="preserve"> </w:t>
      </w:r>
      <w:r w:rsidR="004A6C88">
        <w:tab/>
      </w:r>
      <w:r w:rsidRPr="005869DD">
        <w:t xml:space="preserve">Zmiany </w:t>
      </w:r>
      <w:r>
        <w:t xml:space="preserve">wymienionego rozporządzenia </w:t>
      </w:r>
      <w:r w:rsidRPr="005869DD">
        <w:t>zostały ogłoszone w</w:t>
      </w:r>
      <w:r>
        <w:t xml:space="preserve"> Dz. Urz. UE L 174 z 04.07.2007, str. 26 oraz w Dz. Urz. UE L. 300 z 14.11.2009, str. 34.</w:t>
      </w:r>
    </w:p>
  </w:footnote>
  <w:footnote w:id="3">
    <w:p w14:paraId="7305C58E" w14:textId="77777777" w:rsidR="00D64477" w:rsidRDefault="00D64477" w:rsidP="00D64477">
      <w:pPr>
        <w:pStyle w:val="ODNONIKtreodnonika"/>
      </w:pPr>
      <w:r>
        <w:rPr>
          <w:rStyle w:val="Odwoanieprzypisudolnego"/>
        </w:rPr>
        <w:footnoteRef/>
      </w:r>
      <w:r w:rsidR="004A6C88" w:rsidRPr="004A6C88">
        <w:rPr>
          <w:rStyle w:val="IGindeksgrny"/>
        </w:rPr>
        <w:t>)</w:t>
      </w:r>
      <w:r>
        <w:t xml:space="preserve"> </w:t>
      </w:r>
      <w:r w:rsidR="004A6C88">
        <w:tab/>
      </w:r>
      <w:r w:rsidRPr="005869DD">
        <w:t xml:space="preserve">Zmiany </w:t>
      </w:r>
      <w:r>
        <w:t xml:space="preserve">wymienionego rozporządzenia </w:t>
      </w:r>
      <w:r w:rsidRPr="005869DD">
        <w:t>zostały ogłoszone w</w:t>
      </w:r>
      <w:r>
        <w:t xml:space="preserve"> Dz. Urz. UE L 63 z 06.03.2015, str. 1 oraz Dz. Urz. </w:t>
      </w:r>
      <w:r w:rsidR="000C58CE">
        <w:t>UE L 196 z 21.07.2016, str. 3.</w:t>
      </w:r>
    </w:p>
  </w:footnote>
  <w:footnote w:id="4">
    <w:p w14:paraId="3F78D7D1" w14:textId="77777777" w:rsidR="000C58CE" w:rsidRDefault="000C58CE" w:rsidP="000C58CE">
      <w:pPr>
        <w:pStyle w:val="ODNONIKtreodnonika"/>
      </w:pPr>
      <w:r>
        <w:rPr>
          <w:rStyle w:val="Odwoanieprzypisudolnego"/>
        </w:rPr>
        <w:footnoteRef/>
      </w:r>
      <w:r w:rsidR="004A6C88" w:rsidRPr="004A6C88">
        <w:rPr>
          <w:rStyle w:val="IGindeksgrny"/>
        </w:rPr>
        <w:t>)</w:t>
      </w:r>
      <w:r>
        <w:t xml:space="preserve"> </w:t>
      </w:r>
      <w:r w:rsidR="004A6C88">
        <w:tab/>
      </w:r>
      <w:r>
        <w:t>Zmiany wymienionego rozporządzenia zostały ogłoszone w Dz. Urz. UE L 174 z 04.07.2007, str. 28 oraz Dz. Urz. UE L 300 z 14.</w:t>
      </w:r>
      <w:r w:rsidR="004A6C88">
        <w:t>11.2009</w:t>
      </w:r>
      <w:r>
        <w:t>, str. 34</w:t>
      </w:r>
      <w:r w:rsidR="004A6C88"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EA3DDF" w14:textId="6C9546FE" w:rsidR="00CC3E3D" w:rsidRPr="00B371CC" w:rsidRDefault="00CC3E3D" w:rsidP="00B371CC">
    <w:pPr>
      <w:pStyle w:val="Nagwek"/>
      <w:jc w:val="center"/>
    </w:pPr>
    <w:r>
      <w:t xml:space="preserve">– </w:t>
    </w:r>
    <w:r w:rsidR="009512DB">
      <w:fldChar w:fldCharType="begin"/>
    </w:r>
    <w:r>
      <w:instrText xml:space="preserve"> PAGE  \* MERGEFORMAT </w:instrText>
    </w:r>
    <w:r w:rsidR="009512DB">
      <w:fldChar w:fldCharType="separate"/>
    </w:r>
    <w:r w:rsidR="004434F6">
      <w:rPr>
        <w:noProof/>
      </w:rPr>
      <w:t>17</w:t>
    </w:r>
    <w:r w:rsidR="009512DB"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7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29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2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5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6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3"/>
  </w:num>
  <w:num w:numId="2">
    <w:abstractNumId w:val="23"/>
  </w:num>
  <w:num w:numId="3">
    <w:abstractNumId w:val="18"/>
  </w:num>
  <w:num w:numId="4">
    <w:abstractNumId w:val="18"/>
  </w:num>
  <w:num w:numId="5">
    <w:abstractNumId w:val="35"/>
  </w:num>
  <w:num w:numId="6">
    <w:abstractNumId w:val="31"/>
  </w:num>
  <w:num w:numId="7">
    <w:abstractNumId w:val="35"/>
  </w:num>
  <w:num w:numId="8">
    <w:abstractNumId w:val="31"/>
  </w:num>
  <w:num w:numId="9">
    <w:abstractNumId w:val="35"/>
  </w:num>
  <w:num w:numId="10">
    <w:abstractNumId w:val="31"/>
  </w:num>
  <w:num w:numId="11">
    <w:abstractNumId w:val="14"/>
  </w:num>
  <w:num w:numId="12">
    <w:abstractNumId w:val="10"/>
  </w:num>
  <w:num w:numId="13">
    <w:abstractNumId w:val="15"/>
  </w:num>
  <w:num w:numId="14">
    <w:abstractNumId w:val="26"/>
  </w:num>
  <w:num w:numId="15">
    <w:abstractNumId w:val="14"/>
  </w:num>
  <w:num w:numId="16">
    <w:abstractNumId w:val="16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3"/>
  </w:num>
  <w:num w:numId="28">
    <w:abstractNumId w:val="25"/>
  </w:num>
  <w:num w:numId="29">
    <w:abstractNumId w:val="36"/>
  </w:num>
  <w:num w:numId="30">
    <w:abstractNumId w:val="32"/>
  </w:num>
  <w:num w:numId="31">
    <w:abstractNumId w:val="19"/>
  </w:num>
  <w:num w:numId="32">
    <w:abstractNumId w:val="11"/>
  </w:num>
  <w:num w:numId="33">
    <w:abstractNumId w:val="30"/>
  </w:num>
  <w:num w:numId="34">
    <w:abstractNumId w:val="20"/>
  </w:num>
  <w:num w:numId="35">
    <w:abstractNumId w:val="17"/>
  </w:num>
  <w:num w:numId="36">
    <w:abstractNumId w:val="22"/>
  </w:num>
  <w:num w:numId="37">
    <w:abstractNumId w:val="27"/>
  </w:num>
  <w:num w:numId="38">
    <w:abstractNumId w:val="24"/>
  </w:num>
  <w:num w:numId="39">
    <w:abstractNumId w:val="13"/>
  </w:num>
  <w:num w:numId="40">
    <w:abstractNumId w:val="29"/>
  </w:num>
  <w:num w:numId="41">
    <w:abstractNumId w:val="28"/>
  </w:num>
  <w:num w:numId="42">
    <w:abstractNumId w:val="21"/>
  </w:num>
  <w:num w:numId="43">
    <w:abstractNumId w:val="34"/>
  </w:num>
  <w:num w:numId="44">
    <w:abstractNumId w:val="1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arszałek Paweł">
    <w15:presenceInfo w15:providerId="AD" w15:userId="S-1-5-21-880181269-3098000704-2014777286-168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trackRevisions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Start w:val="2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2F6"/>
    <w:rsid w:val="000012DA"/>
    <w:rsid w:val="0000246E"/>
    <w:rsid w:val="00002AD4"/>
    <w:rsid w:val="00003413"/>
    <w:rsid w:val="00003862"/>
    <w:rsid w:val="00012A35"/>
    <w:rsid w:val="00016099"/>
    <w:rsid w:val="00017DC2"/>
    <w:rsid w:val="00021522"/>
    <w:rsid w:val="00023471"/>
    <w:rsid w:val="00023F13"/>
    <w:rsid w:val="00030634"/>
    <w:rsid w:val="000319C1"/>
    <w:rsid w:val="00031A8B"/>
    <w:rsid w:val="00031BCA"/>
    <w:rsid w:val="000330FA"/>
    <w:rsid w:val="0003362F"/>
    <w:rsid w:val="00036B63"/>
    <w:rsid w:val="00037E1A"/>
    <w:rsid w:val="000408F8"/>
    <w:rsid w:val="00040A55"/>
    <w:rsid w:val="00043495"/>
    <w:rsid w:val="00046A75"/>
    <w:rsid w:val="00047312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557B"/>
    <w:rsid w:val="00085CE7"/>
    <w:rsid w:val="000863F4"/>
    <w:rsid w:val="00087611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1AF9"/>
    <w:rsid w:val="000B2487"/>
    <w:rsid w:val="000B298D"/>
    <w:rsid w:val="000B5B2D"/>
    <w:rsid w:val="000B5DCE"/>
    <w:rsid w:val="000C05BA"/>
    <w:rsid w:val="000C0E8F"/>
    <w:rsid w:val="000C1CF6"/>
    <w:rsid w:val="000C4BC4"/>
    <w:rsid w:val="000C58CE"/>
    <w:rsid w:val="000C5C1C"/>
    <w:rsid w:val="000D0110"/>
    <w:rsid w:val="000D2468"/>
    <w:rsid w:val="000D318A"/>
    <w:rsid w:val="000D6173"/>
    <w:rsid w:val="000D6F83"/>
    <w:rsid w:val="000E25CC"/>
    <w:rsid w:val="000E3694"/>
    <w:rsid w:val="000E490F"/>
    <w:rsid w:val="000E52ED"/>
    <w:rsid w:val="000E6241"/>
    <w:rsid w:val="000F2BE3"/>
    <w:rsid w:val="000F3D0D"/>
    <w:rsid w:val="000F6ED4"/>
    <w:rsid w:val="000F7A6E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7200F"/>
    <w:rsid w:val="00172F7A"/>
    <w:rsid w:val="00173150"/>
    <w:rsid w:val="00173390"/>
    <w:rsid w:val="001736F0"/>
    <w:rsid w:val="00173BB3"/>
    <w:rsid w:val="001740D0"/>
    <w:rsid w:val="00174F2C"/>
    <w:rsid w:val="00175D65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66AD"/>
    <w:rsid w:val="00216A16"/>
    <w:rsid w:val="00217871"/>
    <w:rsid w:val="00221ED8"/>
    <w:rsid w:val="002231EA"/>
    <w:rsid w:val="00223FDF"/>
    <w:rsid w:val="002279C0"/>
    <w:rsid w:val="00230782"/>
    <w:rsid w:val="0023727E"/>
    <w:rsid w:val="00242081"/>
    <w:rsid w:val="00243777"/>
    <w:rsid w:val="002441CD"/>
    <w:rsid w:val="002501A3"/>
    <w:rsid w:val="0025166C"/>
    <w:rsid w:val="002555D4"/>
    <w:rsid w:val="00261A16"/>
    <w:rsid w:val="00263522"/>
    <w:rsid w:val="00264EC6"/>
    <w:rsid w:val="00271013"/>
    <w:rsid w:val="00273FE4"/>
    <w:rsid w:val="002765B4"/>
    <w:rsid w:val="00276A94"/>
    <w:rsid w:val="0029405D"/>
    <w:rsid w:val="002944BE"/>
    <w:rsid w:val="00294FA6"/>
    <w:rsid w:val="00295A6F"/>
    <w:rsid w:val="002A20C4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C4F"/>
    <w:rsid w:val="002D1364"/>
    <w:rsid w:val="002D4D30"/>
    <w:rsid w:val="002D5000"/>
    <w:rsid w:val="002D526A"/>
    <w:rsid w:val="002D54C3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1004C"/>
    <w:rsid w:val="003105F6"/>
    <w:rsid w:val="00311297"/>
    <w:rsid w:val="003113BE"/>
    <w:rsid w:val="003122CA"/>
    <w:rsid w:val="003148FD"/>
    <w:rsid w:val="003155A8"/>
    <w:rsid w:val="00316133"/>
    <w:rsid w:val="00317EC5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4A57"/>
    <w:rsid w:val="003C0AD9"/>
    <w:rsid w:val="003C0ED0"/>
    <w:rsid w:val="003C1D49"/>
    <w:rsid w:val="003C35C4"/>
    <w:rsid w:val="003D12C2"/>
    <w:rsid w:val="003D172F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465E"/>
    <w:rsid w:val="00424DF7"/>
    <w:rsid w:val="00432B76"/>
    <w:rsid w:val="00434D01"/>
    <w:rsid w:val="00435D26"/>
    <w:rsid w:val="00440C99"/>
    <w:rsid w:val="0044175C"/>
    <w:rsid w:val="004434F6"/>
    <w:rsid w:val="00445F4D"/>
    <w:rsid w:val="004504C0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A6C88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63AB"/>
    <w:rsid w:val="00544EF4"/>
    <w:rsid w:val="00545E53"/>
    <w:rsid w:val="005479D9"/>
    <w:rsid w:val="00550BD2"/>
    <w:rsid w:val="005534BE"/>
    <w:rsid w:val="00555806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B0C36"/>
    <w:rsid w:val="005B713E"/>
    <w:rsid w:val="005C03B6"/>
    <w:rsid w:val="005C348E"/>
    <w:rsid w:val="005C68E1"/>
    <w:rsid w:val="005D3763"/>
    <w:rsid w:val="005D55E1"/>
    <w:rsid w:val="005E19F7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32C5"/>
    <w:rsid w:val="00615772"/>
    <w:rsid w:val="00615E40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B1AD9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13B3"/>
    <w:rsid w:val="0072457F"/>
    <w:rsid w:val="00725406"/>
    <w:rsid w:val="0072621B"/>
    <w:rsid w:val="0072779B"/>
    <w:rsid w:val="00730555"/>
    <w:rsid w:val="007312CC"/>
    <w:rsid w:val="00732AC7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07CD"/>
    <w:rsid w:val="0078214B"/>
    <w:rsid w:val="0078498A"/>
    <w:rsid w:val="00787B70"/>
    <w:rsid w:val="00792207"/>
    <w:rsid w:val="00792B64"/>
    <w:rsid w:val="00792E29"/>
    <w:rsid w:val="0079379A"/>
    <w:rsid w:val="00794953"/>
    <w:rsid w:val="007A1CE4"/>
    <w:rsid w:val="007A1F2F"/>
    <w:rsid w:val="007A2A5C"/>
    <w:rsid w:val="007A5150"/>
    <w:rsid w:val="007A5373"/>
    <w:rsid w:val="007A789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1D5A"/>
    <w:rsid w:val="007F2EB6"/>
    <w:rsid w:val="007F54C3"/>
    <w:rsid w:val="007F74A1"/>
    <w:rsid w:val="0080019E"/>
    <w:rsid w:val="008014EF"/>
    <w:rsid w:val="00802949"/>
    <w:rsid w:val="0080301E"/>
    <w:rsid w:val="0080365F"/>
    <w:rsid w:val="00812BE5"/>
    <w:rsid w:val="00817429"/>
    <w:rsid w:val="00817CED"/>
    <w:rsid w:val="00821514"/>
    <w:rsid w:val="00821E35"/>
    <w:rsid w:val="00824591"/>
    <w:rsid w:val="00824AED"/>
    <w:rsid w:val="00827820"/>
    <w:rsid w:val="00831B8B"/>
    <w:rsid w:val="0083405D"/>
    <w:rsid w:val="008352D4"/>
    <w:rsid w:val="00836DB9"/>
    <w:rsid w:val="008372FC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57584"/>
    <w:rsid w:val="0086018B"/>
    <w:rsid w:val="008611DD"/>
    <w:rsid w:val="008620DE"/>
    <w:rsid w:val="00866867"/>
    <w:rsid w:val="00867316"/>
    <w:rsid w:val="00872257"/>
    <w:rsid w:val="008753E6"/>
    <w:rsid w:val="0087738C"/>
    <w:rsid w:val="008802AF"/>
    <w:rsid w:val="00881926"/>
    <w:rsid w:val="0088318F"/>
    <w:rsid w:val="0088331D"/>
    <w:rsid w:val="00883BE9"/>
    <w:rsid w:val="008852B0"/>
    <w:rsid w:val="00885AE7"/>
    <w:rsid w:val="00886B60"/>
    <w:rsid w:val="00887352"/>
    <w:rsid w:val="00887889"/>
    <w:rsid w:val="008920FF"/>
    <w:rsid w:val="008926E8"/>
    <w:rsid w:val="00894F19"/>
    <w:rsid w:val="00896A10"/>
    <w:rsid w:val="008971B5"/>
    <w:rsid w:val="008A5D26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7233"/>
    <w:rsid w:val="008D2434"/>
    <w:rsid w:val="008E171D"/>
    <w:rsid w:val="008E2785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2F6"/>
    <w:rsid w:val="00930D30"/>
    <w:rsid w:val="009332A2"/>
    <w:rsid w:val="009363D5"/>
    <w:rsid w:val="00937598"/>
    <w:rsid w:val="0093790B"/>
    <w:rsid w:val="00943751"/>
    <w:rsid w:val="00946DD0"/>
    <w:rsid w:val="009509E6"/>
    <w:rsid w:val="009512DB"/>
    <w:rsid w:val="00952018"/>
    <w:rsid w:val="00952800"/>
    <w:rsid w:val="0095300D"/>
    <w:rsid w:val="00956812"/>
    <w:rsid w:val="0095719A"/>
    <w:rsid w:val="009623E9"/>
    <w:rsid w:val="009637D1"/>
    <w:rsid w:val="00963EEB"/>
    <w:rsid w:val="009648BC"/>
    <w:rsid w:val="00964C2F"/>
    <w:rsid w:val="00965F88"/>
    <w:rsid w:val="00984E03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333"/>
    <w:rsid w:val="009B6701"/>
    <w:rsid w:val="009B6EF7"/>
    <w:rsid w:val="009B7000"/>
    <w:rsid w:val="009B739C"/>
    <w:rsid w:val="009C04EC"/>
    <w:rsid w:val="009C328C"/>
    <w:rsid w:val="009C4444"/>
    <w:rsid w:val="009C79AD"/>
    <w:rsid w:val="009C7CA6"/>
    <w:rsid w:val="009D3316"/>
    <w:rsid w:val="009D55AA"/>
    <w:rsid w:val="009E3E77"/>
    <w:rsid w:val="009E3FAB"/>
    <w:rsid w:val="009E5B3F"/>
    <w:rsid w:val="009E764D"/>
    <w:rsid w:val="009E7D90"/>
    <w:rsid w:val="009F1AB0"/>
    <w:rsid w:val="009F501D"/>
    <w:rsid w:val="009F6431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403B"/>
    <w:rsid w:val="00A24FCC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0EE"/>
    <w:rsid w:val="00A96265"/>
    <w:rsid w:val="00A97084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427"/>
    <w:rsid w:val="00AB2AD0"/>
    <w:rsid w:val="00AB4E7C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5B4"/>
    <w:rsid w:val="00B45FBC"/>
    <w:rsid w:val="00B51A7D"/>
    <w:rsid w:val="00B535C2"/>
    <w:rsid w:val="00B55544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1D31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12EC"/>
    <w:rsid w:val="00BC4BC6"/>
    <w:rsid w:val="00BC52FD"/>
    <w:rsid w:val="00BC6E62"/>
    <w:rsid w:val="00BC7103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667BE"/>
    <w:rsid w:val="00C6766B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969B8"/>
    <w:rsid w:val="00CA6E14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D12C1"/>
    <w:rsid w:val="00CD214E"/>
    <w:rsid w:val="00CD46FA"/>
    <w:rsid w:val="00CD5973"/>
    <w:rsid w:val="00CE2F15"/>
    <w:rsid w:val="00CE31A6"/>
    <w:rsid w:val="00CE32FD"/>
    <w:rsid w:val="00CF09AA"/>
    <w:rsid w:val="00CF4813"/>
    <w:rsid w:val="00CF5233"/>
    <w:rsid w:val="00D029B8"/>
    <w:rsid w:val="00D02F60"/>
    <w:rsid w:val="00D0464E"/>
    <w:rsid w:val="00D04A96"/>
    <w:rsid w:val="00D057D9"/>
    <w:rsid w:val="00D07A7B"/>
    <w:rsid w:val="00D10E06"/>
    <w:rsid w:val="00D117B8"/>
    <w:rsid w:val="00D14199"/>
    <w:rsid w:val="00D15197"/>
    <w:rsid w:val="00D16820"/>
    <w:rsid w:val="00D169C8"/>
    <w:rsid w:val="00D1793F"/>
    <w:rsid w:val="00D22AF5"/>
    <w:rsid w:val="00D235EA"/>
    <w:rsid w:val="00D247A9"/>
    <w:rsid w:val="00D32721"/>
    <w:rsid w:val="00D328DC"/>
    <w:rsid w:val="00D33387"/>
    <w:rsid w:val="00D402FB"/>
    <w:rsid w:val="00D47D7A"/>
    <w:rsid w:val="00D50ABD"/>
    <w:rsid w:val="00D55290"/>
    <w:rsid w:val="00D57791"/>
    <w:rsid w:val="00D6046A"/>
    <w:rsid w:val="00D62870"/>
    <w:rsid w:val="00D637F9"/>
    <w:rsid w:val="00D64477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A7FF8"/>
    <w:rsid w:val="00DB1AD2"/>
    <w:rsid w:val="00DB2B58"/>
    <w:rsid w:val="00DB5206"/>
    <w:rsid w:val="00DB6276"/>
    <w:rsid w:val="00DB63F5"/>
    <w:rsid w:val="00DC1C6B"/>
    <w:rsid w:val="00DC2C2E"/>
    <w:rsid w:val="00DC4AF0"/>
    <w:rsid w:val="00DC7886"/>
    <w:rsid w:val="00DD0CF2"/>
    <w:rsid w:val="00DE1554"/>
    <w:rsid w:val="00DE2901"/>
    <w:rsid w:val="00DE590F"/>
    <w:rsid w:val="00DE7DC1"/>
    <w:rsid w:val="00DF34D8"/>
    <w:rsid w:val="00DF3F7E"/>
    <w:rsid w:val="00DF7648"/>
    <w:rsid w:val="00E00E29"/>
    <w:rsid w:val="00E02BAB"/>
    <w:rsid w:val="00E04CEB"/>
    <w:rsid w:val="00E060BC"/>
    <w:rsid w:val="00E11420"/>
    <w:rsid w:val="00E132FB"/>
    <w:rsid w:val="00E170B7"/>
    <w:rsid w:val="00E177DD"/>
    <w:rsid w:val="00E20900"/>
    <w:rsid w:val="00E209EB"/>
    <w:rsid w:val="00E20C7F"/>
    <w:rsid w:val="00E2396E"/>
    <w:rsid w:val="00E24728"/>
    <w:rsid w:val="00E276AC"/>
    <w:rsid w:val="00E34A35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775E1"/>
    <w:rsid w:val="00E82F62"/>
    <w:rsid w:val="00E83ADD"/>
    <w:rsid w:val="00E84F38"/>
    <w:rsid w:val="00E85623"/>
    <w:rsid w:val="00E87441"/>
    <w:rsid w:val="00E91FAE"/>
    <w:rsid w:val="00E96E3F"/>
    <w:rsid w:val="00EA0ED0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F0B96"/>
    <w:rsid w:val="00EF3486"/>
    <w:rsid w:val="00EF47AF"/>
    <w:rsid w:val="00EF53B6"/>
    <w:rsid w:val="00F00B73"/>
    <w:rsid w:val="00F115CA"/>
    <w:rsid w:val="00F12FD5"/>
    <w:rsid w:val="00F14817"/>
    <w:rsid w:val="00F14EBA"/>
    <w:rsid w:val="00F1510F"/>
    <w:rsid w:val="00F1533A"/>
    <w:rsid w:val="00F15E5A"/>
    <w:rsid w:val="00F17F0A"/>
    <w:rsid w:val="00F2668F"/>
    <w:rsid w:val="00F2742F"/>
    <w:rsid w:val="00F2753B"/>
    <w:rsid w:val="00F33F8B"/>
    <w:rsid w:val="00F340B2"/>
    <w:rsid w:val="00F4112F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C0A"/>
    <w:rsid w:val="00F9415B"/>
    <w:rsid w:val="00FA13C2"/>
    <w:rsid w:val="00FA7F91"/>
    <w:rsid w:val="00FB121C"/>
    <w:rsid w:val="00FB1CDD"/>
    <w:rsid w:val="00FB2C2F"/>
    <w:rsid w:val="00FB305C"/>
    <w:rsid w:val="00FC2E3D"/>
    <w:rsid w:val="00FC3BDE"/>
    <w:rsid w:val="00FD1DBE"/>
    <w:rsid w:val="00FD25A7"/>
    <w:rsid w:val="00FD27B6"/>
    <w:rsid w:val="00FD3689"/>
    <w:rsid w:val="00FD42A3"/>
    <w:rsid w:val="00FD7468"/>
    <w:rsid w:val="00FD7CE0"/>
    <w:rsid w:val="00FE0B3B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51208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lang w:val="pl-PL" w:eastAsia="pl-PL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locked="0" w:semiHidden="0" w:uiPriority="0" w:unhideWhenUsed="0"/>
    <w:lsdException w:name="heading 2" w:locked="0" w:qFormat="1"/>
    <w:lsdException w:name="heading 3" w:locked="0" w:qFormat="1"/>
    <w:lsdException w:name="heading 4" w:locked="0" w:qFormat="1"/>
    <w:lsdException w:name="heading 5" w:locked="0" w:qFormat="1"/>
    <w:lsdException w:name="heading 6" w:locked="0" w:qFormat="1"/>
    <w:lsdException w:name="heading 7" w:locked="0" w:qFormat="1"/>
    <w:lsdException w:name="heading 8" w:locked="0" w:qFormat="1"/>
    <w:lsdException w:name="heading 9" w:locked="0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locked="0"/>
    <w:lsdException w:name="toc 2" w:locked="0"/>
    <w:lsdException w:name="toc 3" w:locked="0"/>
    <w:lsdException w:name="toc 4" w:locked="0"/>
    <w:lsdException w:name="toc 5" w:locked="0"/>
    <w:lsdException w:name="toc 6" w:locked="0"/>
    <w:lsdException w:name="toc 7" w:locked="0"/>
    <w:lsdException w:name="toc 8" w:locked="0"/>
    <w:lsdException w:name="toc 9" w:locked="0"/>
    <w:lsdException w:name="Normal Indent" w:locked="0"/>
    <w:lsdException w:name="footnote text" w:qFormat="1"/>
    <w:lsdException w:name="annotation text" w:locked="0"/>
    <w:lsdException w:name="header" w:locked="0"/>
    <w:lsdException w:name="footer" w:locked="0"/>
    <w:lsdException w:name="index heading" w:locked="0"/>
    <w:lsdException w:name="caption" w:locked="0" w:qFormat="1"/>
    <w:lsdException w:name="table of figures" w:locked="0"/>
    <w:lsdException w:name="envelope address" w:locked="0"/>
    <w:lsdException w:name="envelope return" w:locked="0"/>
    <w:lsdException w:name="footnote reference" w:locked="0" w:uiPriority="0"/>
    <w:lsdException w:name="annotation reference" w:locked="0" w:uiPriority="0"/>
    <w:lsdException w:name="line number" w:locked="0"/>
    <w:lsdException w:name="page number" w:locked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locked="0" w:unhideWhenUsed="0"/>
    <w:lsdException w:name="List 2" w:locked="0"/>
    <w:lsdException w:name="List 3" w:locked="0"/>
    <w:lsdException w:name="List 4" w:locked="0" w:unhideWhenUsed="0"/>
    <w:lsdException w:name="List 5" w:locked="0" w:unhideWhenUsed="0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locked="0" w:unhideWhenUsed="0"/>
    <w:lsdException w:name="Closing" w:locked="0"/>
    <w:lsdException w:name="Signature" w:locked="0"/>
    <w:lsdException w:name="Default Paragraph Font" w:locked="0" w:uiPriority="1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locked="0" w:unhideWhenUsed="0"/>
    <w:lsdException w:name="Salutation" w:locked="0" w:unhideWhenUsed="0"/>
    <w:lsdException w:name="Date" w:locked="0" w:unhideWhenUsed="0"/>
    <w:lsdException w:name="Body Text First Indent" w:locked="0" w:unhideWhenUsed="0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/>
    <w:lsdException w:name="FollowedHyperlink" w:locked="0"/>
    <w:lsdException w:name="Strong" w:locked="0" w:unhideWhenUsed="0" w:qFormat="1"/>
    <w:lsdException w:name="Emphasis" w:locked="0" w:unhideWhenUsed="0"/>
    <w:lsdException w:name="Document Map" w:locked="0"/>
    <w:lsdException w:name="Plain Text" w:locked="0"/>
    <w:lsdException w:name="E-mail Signature" w:locked="0"/>
    <w:lsdException w:name="HTML Top of Form" w:locked="0" w:uiPriority="0"/>
    <w:lsdException w:name="HTML Bottom of Form" w:locked="0" w:uiPriority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 w:uiPriority="0"/>
    <w:lsdException w:name="annotation subject" w:locked="0" w:uiPriority="0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semiHidden="0" w:uiPriority="0" w:unhideWhenUsed="0"/>
    <w:lsdException w:name="Table Theme" w:uiPriority="0"/>
    <w:lsdException w:name="Placeholder Text" w:locked="0" w:unhideWhenUsed="0"/>
    <w:lsdException w:name="No Spacing" w:locked="0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locked="0" w:unhideWhenUsed="0"/>
    <w:lsdException w:name="Quote" w:locked="0" w:unhideWhenUsed="0" w:qFormat="1"/>
    <w:lsdException w:name="Intense Quote" w:locked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locked="0" w:unhideWhenUsed="0"/>
    <w:lsdException w:name="Intense Emphasis" w:locked="0" w:unhideWhenUsed="0"/>
    <w:lsdException w:name="Subtle Reference" w:locked="0" w:unhideWhenUsed="0"/>
    <w:lsdException w:name="Intense Reference" w:locked="0" w:unhideWhenUsed="0"/>
    <w:lsdException w:name="Book Title" w:locked="0" w:unhideWhenUsed="0"/>
    <w:lsdException w:name="Bibliography" w:locked="0"/>
    <w:lsdException w:name="TOC Heading" w:locked="0" w:qFormat="1"/>
  </w:latentStyles>
  <w:style w:type="paragraph" w:default="1" w:styleId="Normalny">
    <w:name w:val="Normal"/>
    <w:qFormat/>
    <w:rsid w:val="00FD25A7"/>
    <w:pPr>
      <w:widowControl w:val="0"/>
      <w:autoSpaceDE w:val="0"/>
      <w:autoSpaceDN w:val="0"/>
      <w:adjustRightInd w:val="0"/>
      <w:spacing w:line="360" w:lineRule="auto"/>
    </w:pPr>
    <w:rPr>
      <w:rFonts w:ascii="Times New Roman" w:hAnsi="Times New Roman" w:cs="Arial"/>
      <w:sz w:val="24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="Cambria" w:hAnsi="Cambria" w:cs="Times New Roman"/>
      <w:b/>
      <w:bCs/>
      <w:color w:val="365F91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="Times New Roman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="Times New Roman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="Times New Roman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cs="Arial"/>
      <w:sz w:val="24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link w:val="Nagwek1"/>
    <w:uiPriority w:val="99"/>
    <w:semiHidden/>
    <w:rsid w:val="004504C0"/>
    <w:rPr>
      <w:rFonts w:ascii="Cambria" w:eastAsia="Times New Roman" w:hAnsi="Cambria" w:cs="Times New Roman"/>
      <w:b/>
      <w:bCs/>
      <w:color w:val="365F91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  <w:spacing w:line="360" w:lineRule="auto"/>
    </w:pPr>
    <w:rPr>
      <w:kern w:val="1"/>
      <w:sz w:val="24"/>
      <w:szCs w:val="24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 w:line="360" w:lineRule="auto"/>
      <w:jc w:val="center"/>
    </w:pPr>
    <w:rPr>
      <w:rFonts w:cs="Arial"/>
      <w:bCs/>
      <w:sz w:val="24"/>
      <w:szCs w:val="24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 w:line="360" w:lineRule="auto"/>
      <w:jc w:val="center"/>
    </w:pPr>
    <w:rPr>
      <w:rFonts w:cs="Arial"/>
      <w:b/>
      <w:bCs/>
      <w:sz w:val="24"/>
      <w:szCs w:val="24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 w:line="360" w:lineRule="auto"/>
      <w:jc w:val="center"/>
    </w:pPr>
    <w:rPr>
      <w:b/>
      <w:bCs/>
      <w:caps/>
      <w:kern w:val="24"/>
      <w:sz w:val="24"/>
      <w:szCs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 w:line="360" w:lineRule="auto"/>
      <w:jc w:val="center"/>
    </w:pPr>
    <w:rPr>
      <w:b/>
      <w:bCs/>
      <w:caps/>
      <w:spacing w:val="54"/>
      <w:kern w:val="24"/>
      <w:sz w:val="24"/>
      <w:szCs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spacing w:line="360" w:lineRule="auto"/>
      <w:ind w:left="510" w:hanging="510"/>
      <w:jc w:val="both"/>
    </w:pPr>
    <w:rPr>
      <w:rFonts w:cs="Arial"/>
      <w:bCs/>
      <w:sz w:val="24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 w:line="360" w:lineRule="auto"/>
      <w:jc w:val="center"/>
    </w:pPr>
    <w:rPr>
      <w:b/>
      <w:bCs/>
      <w:sz w:val="24"/>
      <w:szCs w:val="24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 w:line="360" w:lineRule="auto"/>
      <w:jc w:val="center"/>
    </w:pPr>
    <w:rPr>
      <w:rFonts w:cs="Arial"/>
      <w:bCs/>
      <w:caps/>
      <w:kern w:val="24"/>
      <w:sz w:val="24"/>
      <w:szCs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spacing w:line="360" w:lineRule="auto"/>
      <w:ind w:left="510"/>
      <w:jc w:val="center"/>
    </w:pPr>
    <w:rPr>
      <w:sz w:val="24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spacing w:line="360" w:lineRule="auto"/>
      <w:ind w:left="510"/>
      <w:jc w:val="center"/>
    </w:pPr>
    <w:rPr>
      <w:rFonts w:cs="Arial"/>
      <w:bCs/>
      <w:kern w:val="24"/>
      <w:sz w:val="24"/>
      <w:szCs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hAnsi="Times" w:cs="Times New Roman"/>
      <w:szCs w:val="24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hAnsi="Times" w:cs="Times New Roman"/>
      <w:szCs w:val="24"/>
    </w:rPr>
  </w:style>
  <w:style w:type="character" w:customStyle="1" w:styleId="TekstkomentarzaZnak">
    <w:name w:val="Tekst komentarza Znak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ind w:left="284" w:hanging="284"/>
      <w:jc w:val="both"/>
    </w:pPr>
    <w:rPr>
      <w:rFonts w:ascii="Times New Roman" w:hAnsi="Times New Roman" w:cs="Arial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 w:line="360" w:lineRule="auto"/>
      <w:jc w:val="center"/>
    </w:pPr>
    <w:rPr>
      <w:rFonts w:cs="Arial"/>
      <w:bCs/>
      <w:kern w:val="24"/>
      <w:sz w:val="24"/>
      <w:szCs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 w:line="360" w:lineRule="auto"/>
      <w:jc w:val="center"/>
    </w:pPr>
    <w:rPr>
      <w:b/>
      <w:sz w:val="24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spacing w:line="360" w:lineRule="auto"/>
      <w:jc w:val="right"/>
    </w:pPr>
    <w:rPr>
      <w:rFonts w:ascii="Times New Roman" w:hAnsi="Times New Roman" w:cs="Arial"/>
      <w:sz w:val="24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pPr>
      <w:spacing w:line="360" w:lineRule="auto"/>
    </w:pPr>
    <w:rPr>
      <w:rFonts w:ascii="Times New Roman" w:hAnsi="Times New Roman" w:cs="Arial"/>
      <w:b/>
      <w:sz w:val="24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/>
      <w:ind w:left="5670"/>
      <w:contextualSpacing/>
    </w:pPr>
    <w:rPr>
      <w:rFonts w:ascii="Times New Roman" w:hAnsi="Times New Roman" w:cs="Arial"/>
      <w:sz w:val="24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uiPriority w:val="1"/>
    <w:qFormat/>
    <w:rsid w:val="006A748A"/>
    <w:rPr>
      <w:b/>
    </w:rPr>
  </w:style>
  <w:style w:type="character" w:customStyle="1" w:styleId="Kkursywa">
    <w:name w:val="_K_ – kursywa"/>
    <w:uiPriority w:val="1"/>
    <w:qFormat/>
    <w:rsid w:val="006A748A"/>
    <w:rPr>
      <w:i/>
    </w:rPr>
  </w:style>
  <w:style w:type="character" w:customStyle="1" w:styleId="PKpogrubieniekursywa">
    <w:name w:val="_P_K_ – pogrubienie kursywa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spacing w:line="360" w:lineRule="auto"/>
      <w:jc w:val="center"/>
    </w:pPr>
    <w:rPr>
      <w:rFonts w:ascii="Times New Roman" w:hAnsi="Times New Roman" w:cs="Arial"/>
      <w:sz w:val="24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uiPriority w:val="99"/>
    <w:semiHidden/>
    <w:rsid w:val="00341A6A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lang w:val="pl-PL" w:eastAsia="pl-PL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locked="0" w:semiHidden="0" w:uiPriority="0" w:unhideWhenUsed="0"/>
    <w:lsdException w:name="heading 2" w:locked="0" w:qFormat="1"/>
    <w:lsdException w:name="heading 3" w:locked="0" w:qFormat="1"/>
    <w:lsdException w:name="heading 4" w:locked="0" w:qFormat="1"/>
    <w:lsdException w:name="heading 5" w:locked="0" w:qFormat="1"/>
    <w:lsdException w:name="heading 6" w:locked="0" w:qFormat="1"/>
    <w:lsdException w:name="heading 7" w:locked="0" w:qFormat="1"/>
    <w:lsdException w:name="heading 8" w:locked="0" w:qFormat="1"/>
    <w:lsdException w:name="heading 9" w:locked="0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locked="0"/>
    <w:lsdException w:name="toc 2" w:locked="0"/>
    <w:lsdException w:name="toc 3" w:locked="0"/>
    <w:lsdException w:name="toc 4" w:locked="0"/>
    <w:lsdException w:name="toc 5" w:locked="0"/>
    <w:lsdException w:name="toc 6" w:locked="0"/>
    <w:lsdException w:name="toc 7" w:locked="0"/>
    <w:lsdException w:name="toc 8" w:locked="0"/>
    <w:lsdException w:name="toc 9" w:locked="0"/>
    <w:lsdException w:name="Normal Indent" w:locked="0"/>
    <w:lsdException w:name="footnote text" w:qFormat="1"/>
    <w:lsdException w:name="annotation text" w:locked="0"/>
    <w:lsdException w:name="header" w:locked="0"/>
    <w:lsdException w:name="footer" w:locked="0"/>
    <w:lsdException w:name="index heading" w:locked="0"/>
    <w:lsdException w:name="caption" w:locked="0" w:qFormat="1"/>
    <w:lsdException w:name="table of figures" w:locked="0"/>
    <w:lsdException w:name="envelope address" w:locked="0"/>
    <w:lsdException w:name="envelope return" w:locked="0"/>
    <w:lsdException w:name="footnote reference" w:locked="0" w:uiPriority="0"/>
    <w:lsdException w:name="annotation reference" w:locked="0" w:uiPriority="0"/>
    <w:lsdException w:name="line number" w:locked="0"/>
    <w:lsdException w:name="page number" w:locked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locked="0" w:unhideWhenUsed="0"/>
    <w:lsdException w:name="List 2" w:locked="0"/>
    <w:lsdException w:name="List 3" w:locked="0"/>
    <w:lsdException w:name="List 4" w:locked="0" w:unhideWhenUsed="0"/>
    <w:lsdException w:name="List 5" w:locked="0" w:unhideWhenUsed="0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locked="0" w:unhideWhenUsed="0"/>
    <w:lsdException w:name="Closing" w:locked="0"/>
    <w:lsdException w:name="Signature" w:locked="0"/>
    <w:lsdException w:name="Default Paragraph Font" w:locked="0" w:uiPriority="1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locked="0" w:unhideWhenUsed="0"/>
    <w:lsdException w:name="Salutation" w:locked="0" w:unhideWhenUsed="0"/>
    <w:lsdException w:name="Date" w:locked="0" w:unhideWhenUsed="0"/>
    <w:lsdException w:name="Body Text First Indent" w:locked="0" w:unhideWhenUsed="0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/>
    <w:lsdException w:name="FollowedHyperlink" w:locked="0"/>
    <w:lsdException w:name="Strong" w:locked="0" w:unhideWhenUsed="0" w:qFormat="1"/>
    <w:lsdException w:name="Emphasis" w:locked="0" w:unhideWhenUsed="0"/>
    <w:lsdException w:name="Document Map" w:locked="0"/>
    <w:lsdException w:name="Plain Text" w:locked="0"/>
    <w:lsdException w:name="E-mail Signature" w:locked="0"/>
    <w:lsdException w:name="HTML Top of Form" w:locked="0" w:uiPriority="0"/>
    <w:lsdException w:name="HTML Bottom of Form" w:locked="0" w:uiPriority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 w:uiPriority="0"/>
    <w:lsdException w:name="annotation subject" w:locked="0" w:uiPriority="0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semiHidden="0" w:uiPriority="0" w:unhideWhenUsed="0"/>
    <w:lsdException w:name="Table Theme" w:uiPriority="0"/>
    <w:lsdException w:name="Placeholder Text" w:locked="0" w:unhideWhenUsed="0"/>
    <w:lsdException w:name="No Spacing" w:locked="0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locked="0" w:unhideWhenUsed="0"/>
    <w:lsdException w:name="Quote" w:locked="0" w:unhideWhenUsed="0" w:qFormat="1"/>
    <w:lsdException w:name="Intense Quote" w:locked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locked="0" w:unhideWhenUsed="0"/>
    <w:lsdException w:name="Intense Emphasis" w:locked="0" w:unhideWhenUsed="0"/>
    <w:lsdException w:name="Subtle Reference" w:locked="0" w:unhideWhenUsed="0"/>
    <w:lsdException w:name="Intense Reference" w:locked="0" w:unhideWhenUsed="0"/>
    <w:lsdException w:name="Book Title" w:locked="0" w:unhideWhenUsed="0"/>
    <w:lsdException w:name="Bibliography" w:locked="0"/>
    <w:lsdException w:name="TOC Heading" w:locked="0" w:qFormat="1"/>
  </w:latentStyles>
  <w:style w:type="paragraph" w:default="1" w:styleId="Normalny">
    <w:name w:val="Normal"/>
    <w:qFormat/>
    <w:rsid w:val="00FD25A7"/>
    <w:pPr>
      <w:widowControl w:val="0"/>
      <w:autoSpaceDE w:val="0"/>
      <w:autoSpaceDN w:val="0"/>
      <w:adjustRightInd w:val="0"/>
      <w:spacing w:line="360" w:lineRule="auto"/>
    </w:pPr>
    <w:rPr>
      <w:rFonts w:ascii="Times New Roman" w:hAnsi="Times New Roman" w:cs="Arial"/>
      <w:sz w:val="24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="Cambria" w:hAnsi="Cambria" w:cs="Times New Roman"/>
      <w:b/>
      <w:bCs/>
      <w:color w:val="365F91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="Times New Roman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="Times New Roman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="Times New Roman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cs="Arial"/>
      <w:sz w:val="24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link w:val="Nagwek1"/>
    <w:uiPriority w:val="99"/>
    <w:semiHidden/>
    <w:rsid w:val="004504C0"/>
    <w:rPr>
      <w:rFonts w:ascii="Cambria" w:eastAsia="Times New Roman" w:hAnsi="Cambria" w:cs="Times New Roman"/>
      <w:b/>
      <w:bCs/>
      <w:color w:val="365F91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  <w:spacing w:line="360" w:lineRule="auto"/>
    </w:pPr>
    <w:rPr>
      <w:kern w:val="1"/>
      <w:sz w:val="24"/>
      <w:szCs w:val="24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 w:line="360" w:lineRule="auto"/>
      <w:jc w:val="center"/>
    </w:pPr>
    <w:rPr>
      <w:rFonts w:cs="Arial"/>
      <w:bCs/>
      <w:sz w:val="24"/>
      <w:szCs w:val="24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 w:line="360" w:lineRule="auto"/>
      <w:jc w:val="center"/>
    </w:pPr>
    <w:rPr>
      <w:rFonts w:cs="Arial"/>
      <w:b/>
      <w:bCs/>
      <w:sz w:val="24"/>
      <w:szCs w:val="24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 w:line="360" w:lineRule="auto"/>
      <w:jc w:val="center"/>
    </w:pPr>
    <w:rPr>
      <w:b/>
      <w:bCs/>
      <w:caps/>
      <w:kern w:val="24"/>
      <w:sz w:val="24"/>
      <w:szCs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 w:line="360" w:lineRule="auto"/>
      <w:jc w:val="center"/>
    </w:pPr>
    <w:rPr>
      <w:b/>
      <w:bCs/>
      <w:caps/>
      <w:spacing w:val="54"/>
      <w:kern w:val="24"/>
      <w:sz w:val="24"/>
      <w:szCs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spacing w:line="360" w:lineRule="auto"/>
      <w:ind w:left="510" w:hanging="510"/>
      <w:jc w:val="both"/>
    </w:pPr>
    <w:rPr>
      <w:rFonts w:cs="Arial"/>
      <w:bCs/>
      <w:sz w:val="24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 w:line="360" w:lineRule="auto"/>
      <w:jc w:val="center"/>
    </w:pPr>
    <w:rPr>
      <w:b/>
      <w:bCs/>
      <w:sz w:val="24"/>
      <w:szCs w:val="24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 w:line="360" w:lineRule="auto"/>
      <w:jc w:val="center"/>
    </w:pPr>
    <w:rPr>
      <w:rFonts w:cs="Arial"/>
      <w:bCs/>
      <w:caps/>
      <w:kern w:val="24"/>
      <w:sz w:val="24"/>
      <w:szCs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spacing w:line="360" w:lineRule="auto"/>
      <w:ind w:left="510"/>
      <w:jc w:val="center"/>
    </w:pPr>
    <w:rPr>
      <w:sz w:val="24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spacing w:line="360" w:lineRule="auto"/>
      <w:ind w:left="510"/>
      <w:jc w:val="center"/>
    </w:pPr>
    <w:rPr>
      <w:rFonts w:cs="Arial"/>
      <w:bCs/>
      <w:kern w:val="24"/>
      <w:sz w:val="24"/>
      <w:szCs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hAnsi="Times" w:cs="Times New Roman"/>
      <w:szCs w:val="24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hAnsi="Times" w:cs="Times New Roman"/>
      <w:szCs w:val="24"/>
    </w:rPr>
  </w:style>
  <w:style w:type="character" w:customStyle="1" w:styleId="TekstkomentarzaZnak">
    <w:name w:val="Tekst komentarza Znak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ind w:left="284" w:hanging="284"/>
      <w:jc w:val="both"/>
    </w:pPr>
    <w:rPr>
      <w:rFonts w:ascii="Times New Roman" w:hAnsi="Times New Roman" w:cs="Arial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 w:line="360" w:lineRule="auto"/>
      <w:jc w:val="center"/>
    </w:pPr>
    <w:rPr>
      <w:rFonts w:cs="Arial"/>
      <w:bCs/>
      <w:kern w:val="24"/>
      <w:sz w:val="24"/>
      <w:szCs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 w:line="360" w:lineRule="auto"/>
      <w:jc w:val="center"/>
    </w:pPr>
    <w:rPr>
      <w:b/>
      <w:sz w:val="24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spacing w:line="360" w:lineRule="auto"/>
      <w:jc w:val="right"/>
    </w:pPr>
    <w:rPr>
      <w:rFonts w:ascii="Times New Roman" w:hAnsi="Times New Roman" w:cs="Arial"/>
      <w:sz w:val="24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pPr>
      <w:spacing w:line="360" w:lineRule="auto"/>
    </w:pPr>
    <w:rPr>
      <w:rFonts w:ascii="Times New Roman" w:hAnsi="Times New Roman" w:cs="Arial"/>
      <w:b/>
      <w:sz w:val="24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/>
      <w:ind w:left="5670"/>
      <w:contextualSpacing/>
    </w:pPr>
    <w:rPr>
      <w:rFonts w:ascii="Times New Roman" w:hAnsi="Times New Roman" w:cs="Arial"/>
      <w:sz w:val="24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uiPriority w:val="1"/>
    <w:qFormat/>
    <w:rsid w:val="006A748A"/>
    <w:rPr>
      <w:b/>
    </w:rPr>
  </w:style>
  <w:style w:type="character" w:customStyle="1" w:styleId="Kkursywa">
    <w:name w:val="_K_ – kursywa"/>
    <w:uiPriority w:val="1"/>
    <w:qFormat/>
    <w:rsid w:val="006A748A"/>
    <w:rPr>
      <w:i/>
    </w:rPr>
  </w:style>
  <w:style w:type="character" w:customStyle="1" w:styleId="PKpogrubieniekursywa">
    <w:name w:val="_P_K_ – pogrubienie kursywa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spacing w:line="360" w:lineRule="auto"/>
      <w:jc w:val="center"/>
    </w:pPr>
    <w:rPr>
      <w:rFonts w:ascii="Times New Roman" w:hAnsi="Times New Roman" w:cs="Arial"/>
      <w:sz w:val="24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uiPriority w:val="99"/>
    <w:semiHidden/>
    <w:rsid w:val="00341A6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5" Type="http://schemas.microsoft.com/office/2011/relationships/commentsExtended" Target="commentsExtended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BLAZE~1\AppData\Local\Temp\Szablon_aktu_prawnego_4_0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4AC8B14-3C2E-496F-80EC-F0CA13A2E9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Szablon_aktu_prawnego_4_0.dot</Template>
  <TotalTime>0</TotalTime>
  <Pages>17</Pages>
  <Words>4669</Words>
  <Characters>28015</Characters>
  <Application>Microsoft Office Word</Application>
  <DocSecurity>0</DocSecurity>
  <Lines>233</Lines>
  <Paragraphs>65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Company>&lt;nazwa organu&gt;</Company>
  <LinksUpToDate>false</LinksUpToDate>
  <CharactersWithSpaces>32619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creator>Blazejczyk Anna</dc:creator>
  <cp:lastModifiedBy>Babiak Agnieszka</cp:lastModifiedBy>
  <cp:revision>2</cp:revision>
  <cp:lastPrinted>2018-03-07T10:18:00Z</cp:lastPrinted>
  <dcterms:created xsi:type="dcterms:W3CDTF">2018-04-13T13:05:00Z</dcterms:created>
  <dcterms:modified xsi:type="dcterms:W3CDTF">2018-04-13T13:05:00Z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