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47" w:type="dxa"/>
        <w:tblInd w:w="-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96"/>
        <w:gridCol w:w="647"/>
        <w:gridCol w:w="425"/>
        <w:gridCol w:w="465"/>
        <w:gridCol w:w="414"/>
        <w:gridCol w:w="155"/>
        <w:gridCol w:w="187"/>
        <w:gridCol w:w="383"/>
        <w:gridCol w:w="554"/>
        <w:gridCol w:w="16"/>
        <w:gridCol w:w="118"/>
        <w:gridCol w:w="151"/>
        <w:gridCol w:w="300"/>
        <w:gridCol w:w="353"/>
        <w:gridCol w:w="217"/>
        <w:gridCol w:w="570"/>
        <w:gridCol w:w="80"/>
        <w:gridCol w:w="71"/>
        <w:gridCol w:w="419"/>
        <w:gridCol w:w="113"/>
        <w:gridCol w:w="405"/>
        <w:gridCol w:w="51"/>
        <w:gridCol w:w="266"/>
        <w:gridCol w:w="304"/>
        <w:gridCol w:w="317"/>
        <w:gridCol w:w="253"/>
        <w:gridCol w:w="570"/>
        <w:gridCol w:w="115"/>
        <w:gridCol w:w="1422"/>
        <w:gridCol w:w="10"/>
      </w:tblGrid>
      <w:tr w:rsidR="00BB3079" w:rsidRPr="00BB3079" w:rsidTr="00BB3079">
        <w:trPr>
          <w:gridAfter w:val="1"/>
          <w:wAfter w:w="10" w:type="dxa"/>
          <w:trHeight w:val="1611"/>
        </w:trPr>
        <w:tc>
          <w:tcPr>
            <w:tcW w:w="6631" w:type="dxa"/>
            <w:gridSpan w:val="17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120" w:line="240" w:lineRule="auto"/>
              <w:ind w:hanging="45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bookmarkStart w:id="0" w:name="t1"/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Nazwa projektu</w:t>
            </w:r>
            <w:bookmarkStart w:id="1" w:name="_GoBack"/>
            <w:bookmarkEnd w:id="1"/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ind w:hanging="34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Rozporządzenie Ministra Infrastruktury i Budownictwa w sprawie egzaminów państwowych na licencje lub uprawnienia lotnicze do nich wpisywane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120" w:line="240" w:lineRule="auto"/>
              <w:ind w:hanging="45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Ministerstwo wiodące i ministerstwa współpracujące</w:t>
            </w:r>
          </w:p>
          <w:bookmarkEnd w:id="0"/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ind w:hanging="34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Ministerstwo Infrastruktury i Budownictwa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b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sz w:val="20"/>
                <w:lang w:eastAsia="en-US"/>
              </w:rPr>
              <w:t xml:space="preserve">Osoba odpowiedzialna za projekt w randze Ministra, Sekretarza Stanu lub Podsekretarza Stanu 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b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sz w:val="20"/>
                <w:lang w:eastAsia="en-US"/>
              </w:rPr>
              <w:t xml:space="preserve">Jerzy Szmit – Podsekretarz Stanu 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120" w:line="240" w:lineRule="auto"/>
              <w:ind w:hanging="45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Kontakt do opiekuna merytorycznego projektu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ind w:hanging="34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Bogusław Rak (brak@ulc.gov.pl)</w:t>
            </w:r>
          </w:p>
        </w:tc>
        <w:tc>
          <w:tcPr>
            <w:tcW w:w="4306" w:type="dxa"/>
            <w:gridSpan w:val="1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b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sz w:val="20"/>
                <w:lang w:eastAsia="en-US"/>
              </w:rPr>
              <w:t>Data sporządzenia</w:t>
            </w:r>
            <w:r w:rsidRPr="00BB3079">
              <w:rPr>
                <w:rFonts w:eastAsia="Calibri" w:cs="Times New Roman"/>
                <w:b/>
                <w:sz w:val="20"/>
                <w:lang w:eastAsia="en-US"/>
              </w:rPr>
              <w:br/>
            </w:r>
            <w:r w:rsidR="003A6329">
              <w:rPr>
                <w:rFonts w:eastAsia="Calibri" w:cs="Times New Roman"/>
                <w:sz w:val="20"/>
                <w:lang w:eastAsia="en-US"/>
              </w:rPr>
              <w:t>03</w:t>
            </w:r>
            <w:r>
              <w:rPr>
                <w:rFonts w:eastAsia="Calibri" w:cs="Times New Roman"/>
                <w:sz w:val="20"/>
                <w:lang w:eastAsia="en-US"/>
              </w:rPr>
              <w:t>.</w:t>
            </w:r>
            <w:r w:rsidR="00CF3263">
              <w:rPr>
                <w:rFonts w:eastAsia="Calibri" w:cs="Times New Roman"/>
                <w:sz w:val="20"/>
                <w:lang w:eastAsia="en-US"/>
              </w:rPr>
              <w:t>0</w:t>
            </w:r>
            <w:r w:rsidR="003A6329">
              <w:rPr>
                <w:rFonts w:eastAsia="Calibri" w:cs="Times New Roman"/>
                <w:sz w:val="20"/>
                <w:lang w:eastAsia="en-US"/>
              </w:rPr>
              <w:t>7</w:t>
            </w:r>
            <w:r w:rsidRPr="00BB3079">
              <w:rPr>
                <w:rFonts w:eastAsia="Calibri" w:cs="Times New Roman"/>
                <w:sz w:val="20"/>
                <w:lang w:eastAsia="en-US"/>
              </w:rPr>
              <w:t>.201</w:t>
            </w:r>
            <w:r w:rsidR="00CF3263">
              <w:rPr>
                <w:rFonts w:eastAsia="Calibri" w:cs="Times New Roman"/>
                <w:sz w:val="20"/>
                <w:lang w:eastAsia="en-US"/>
              </w:rPr>
              <w:t>7</w:t>
            </w:r>
            <w:r w:rsidRPr="00BB3079">
              <w:rPr>
                <w:rFonts w:eastAsia="Calibri" w:cs="Times New Roman"/>
                <w:sz w:val="20"/>
                <w:lang w:eastAsia="en-US"/>
              </w:rPr>
              <w:t xml:space="preserve"> r.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b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b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sz w:val="20"/>
                <w:lang w:eastAsia="en-US"/>
              </w:rPr>
              <w:t xml:space="preserve">Źródło: </w:t>
            </w:r>
            <w:bookmarkStart w:id="2" w:name="Lista1"/>
          </w:p>
          <w:bookmarkEnd w:id="2"/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sz w:val="20"/>
                <w:lang w:eastAsia="en-US"/>
              </w:rPr>
              <w:t>art. 99 ust. 6 ustawy z dnia 3 lipca 2002 r. – Prawo lotnicze (Dz. U. z 201</w:t>
            </w:r>
            <w:r w:rsidR="00BB72C8">
              <w:rPr>
                <w:rFonts w:eastAsia="Calibri" w:cs="Times New Roman"/>
                <w:sz w:val="20"/>
                <w:lang w:eastAsia="en-US"/>
              </w:rPr>
              <w:t>7</w:t>
            </w:r>
            <w:r w:rsidRPr="00BB3079">
              <w:rPr>
                <w:rFonts w:eastAsia="Calibri" w:cs="Times New Roman"/>
                <w:sz w:val="20"/>
                <w:lang w:eastAsia="en-US"/>
              </w:rPr>
              <w:t xml:space="preserve"> r. poz. </w:t>
            </w:r>
            <w:r w:rsidR="00BB72C8">
              <w:rPr>
                <w:rFonts w:eastAsia="Calibri" w:cs="Times New Roman"/>
                <w:sz w:val="20"/>
                <w:lang w:eastAsia="en-US"/>
              </w:rPr>
              <w:t>959</w:t>
            </w:r>
            <w:r w:rsidR="00EF1D59">
              <w:rPr>
                <w:rFonts w:eastAsia="Calibri" w:cs="Times New Roman"/>
                <w:sz w:val="20"/>
                <w:lang w:eastAsia="en-US"/>
              </w:rPr>
              <w:t xml:space="preserve"> i 1089</w:t>
            </w:r>
            <w:r w:rsidRPr="00BB3079">
              <w:rPr>
                <w:rFonts w:eastAsia="Calibri" w:cs="Times New Roman"/>
                <w:sz w:val="20"/>
                <w:lang w:eastAsia="en-US"/>
              </w:rPr>
              <w:t xml:space="preserve">) 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120" w:line="240" w:lineRule="auto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 xml:space="preserve">Nr w wykazie prac </w:t>
            </w:r>
            <w:r w:rsidR="00C610E6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legislacyjnych MIB</w:t>
            </w:r>
          </w:p>
          <w:p w:rsidR="00BB3079" w:rsidRPr="00BB3079" w:rsidRDefault="00C610E6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5</w:t>
            </w:r>
            <w:r w:rsidR="00BB3079"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6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ind w:left="57"/>
              <w:jc w:val="center"/>
              <w:textAlignment w:val="auto"/>
              <w:rPr>
                <w:rFonts w:eastAsia="Calibri" w:cs="Times New Roman"/>
                <w:b/>
                <w:color w:val="FFFFFF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FFFFFF"/>
                <w:sz w:val="20"/>
                <w:lang w:eastAsia="en-US"/>
              </w:rPr>
              <w:t>OCENA SKUTKÓW REGULACJI</w:t>
            </w:r>
          </w:p>
        </w:tc>
      </w:tr>
      <w:tr w:rsidR="00BB3079" w:rsidRPr="00BB3079" w:rsidTr="00BB3079">
        <w:trPr>
          <w:gridAfter w:val="1"/>
          <w:wAfter w:w="10" w:type="dxa"/>
          <w:trHeight w:val="33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sz w:val="20"/>
                <w:lang w:eastAsia="en-US"/>
              </w:rPr>
              <w:t>Jaki problem jest rozwiązywany?</w:t>
            </w:r>
            <w:bookmarkStart w:id="3" w:name="Wybór1"/>
            <w:bookmarkEnd w:id="3"/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Projektowane rozporządzenie ma na celu wypełnienie upoważnienia ustawowego z art. 99 ust. 6 ustawy z dnia 3 lipca 2002 r. – Prawo lotnicze. </w:t>
            </w:r>
            <w:r w:rsidRPr="00BB3079">
              <w:rPr>
                <w:rFonts w:eastAsia="Calibri" w:cs="Times New Roman"/>
                <w:bCs/>
                <w:sz w:val="20"/>
                <w:lang w:eastAsia="en-US"/>
              </w:rPr>
              <w:t xml:space="preserve">Wydanie projektowanego </w:t>
            </w:r>
            <w:r w:rsidR="00C610E6">
              <w:rPr>
                <w:rFonts w:eastAsia="Calibri" w:cs="Times New Roman"/>
                <w:bCs/>
                <w:sz w:val="20"/>
                <w:lang w:eastAsia="en-US"/>
              </w:rPr>
              <w:t xml:space="preserve">związane jest </w:t>
            </w:r>
            <w:r w:rsidRPr="00BB3079">
              <w:rPr>
                <w:rFonts w:eastAsia="Calibri" w:cs="Times New Roman"/>
                <w:bCs/>
                <w:sz w:val="20"/>
                <w:lang w:eastAsia="en-US"/>
              </w:rPr>
              <w:t>z potrzeb</w:t>
            </w:r>
            <w:r w:rsidR="00C610E6">
              <w:rPr>
                <w:rFonts w:eastAsia="Calibri" w:cs="Times New Roman"/>
                <w:bCs/>
                <w:sz w:val="20"/>
                <w:lang w:eastAsia="en-US"/>
              </w:rPr>
              <w:t>ą</w:t>
            </w:r>
            <w:r w:rsidRPr="00BB3079">
              <w:rPr>
                <w:rFonts w:eastAsia="Calibri" w:cs="Times New Roman"/>
                <w:bCs/>
                <w:sz w:val="20"/>
                <w:lang w:eastAsia="en-US"/>
              </w:rPr>
              <w:t xml:space="preserve"> zapewnienia zgodności przepisów prawa krajowego z normami wynikającymi z przepisów prawa międzynarodowego i Unii Europejskiej oraz uregulowania kwestii reguł wynagradzania członków komisji egzaminacyjnej. W powyższym aspekcie dla opracowania brzmienia projektowanych przepisów wzięto pod uwagę przepisy wykonawcze do 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rozporządzenia Parlamentu Europejskiego i Rady (WE) nr 216/2008 z dnia 20 lutego 2008 r. w sprawie wspólnych zasad w zakresie lotnictwa cywilnego i utworzenia Europejskiej Agencji Bezpieczeństwa Lotniczego oraz uchylające dyrektywę Rady 91/670/EWG, rozporządzenie (WE) nr 1592/2002 i dyrektywę 2004/36/WE (Dz. Urz. UE L 79 z 19.03.2008, str. 1, z </w:t>
            </w:r>
            <w:proofErr w:type="spellStart"/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późn</w:t>
            </w:r>
            <w:proofErr w:type="spellEnd"/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. zm.) </w:t>
            </w:r>
            <w:r w:rsidRPr="00BB3079">
              <w:rPr>
                <w:rFonts w:eastAsia="Calibri" w:cs="Times New Roman"/>
                <w:bCs/>
                <w:sz w:val="20"/>
                <w:lang w:eastAsia="en-US"/>
              </w:rPr>
              <w:t xml:space="preserve">oraz – opublikowane w 2013 r. – krajowe przepisy wykonawcze z upoważnienia art. 104 ust. 1 ustawy – Prawo lotnicze w zakresie licencjonowania i świadectw kwalifikacji. 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Cs/>
                <w:sz w:val="20"/>
                <w:lang w:eastAsia="en-US"/>
              </w:rPr>
              <w:t>Reasumując, wydanie nowego rozporządzenia ma na celu kompleksowe uregulowanie kwestii określonych w art. 99 ust. 6 ustawy – Prawo lotnicze przy uwzględnieniu zmian</w:t>
            </w:r>
            <w:r w:rsidR="00C610E6">
              <w:rPr>
                <w:rFonts w:eastAsia="Calibri" w:cs="Times New Roman"/>
                <w:bCs/>
                <w:sz w:val="20"/>
                <w:lang w:eastAsia="en-US"/>
              </w:rPr>
              <w:t>,</w:t>
            </w:r>
            <w:r w:rsidRPr="00BB3079">
              <w:rPr>
                <w:rFonts w:eastAsia="Calibri" w:cs="Times New Roman"/>
                <w:bCs/>
                <w:sz w:val="20"/>
                <w:lang w:eastAsia="en-US"/>
              </w:rPr>
              <w:t xml:space="preserve"> jakie dokonały się w krajowym, jak i unijnym prawie lotniczym w ostatnich  latach.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pacing w:val="-2"/>
                <w:sz w:val="20"/>
                <w:lang w:eastAsia="en-US"/>
              </w:rPr>
              <w:t>Rekomendowane rozwiązanie, w tym planowane narzędzia interwencji, i oczekiwany efekt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Oczekiwanym efektem projektowanego rozporządzenia jest zapewnie</w:t>
            </w:r>
            <w:r w:rsidR="00C610E6">
              <w:rPr>
                <w:rFonts w:eastAsia="Calibri" w:cs="Times New Roman"/>
                <w:color w:val="000000"/>
                <w:sz w:val="20"/>
                <w:lang w:eastAsia="en-US"/>
              </w:rPr>
              <w:t>nie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spójności regulacji krajowej z normami wynikającymi z przepisów prawa międzynarodowego i prawa Unii Europejskiej oraz uregulowanie kwestii wynagradzania członków komisji egzaminacyjnej, które dotychczas nie były określone w dotychczas obowiązującym rozporządzeniu. </w:t>
            </w:r>
            <w:r w:rsidRPr="00BB3079">
              <w:rPr>
                <w:rFonts w:eastAsia="Calibri" w:cs="Times New Roman"/>
                <w:bCs/>
                <w:sz w:val="20"/>
                <w:lang w:eastAsia="en-US"/>
              </w:rPr>
              <w:t xml:space="preserve">Ministra Infrastruktury z dnia 18 lipca 2003 r. w sprawie egzaminów państwowych na licencje lub uprawnienia lotnicze (Dz. U. Nr 168, poz. 1637 oraz z 2013 r. poz. 1465). 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Swoim zakresem projektowane rozporządzenie obejmie wszystkie zdefiniowane w przepisach prawa lotniczego licencje, świadectwa kwalifikacji i uprawnienia do nich wpi</w:t>
            </w:r>
            <w:r>
              <w:rPr>
                <w:rFonts w:eastAsia="Calibri" w:cs="Times New Roman"/>
                <w:color w:val="000000"/>
                <w:sz w:val="20"/>
                <w:lang w:eastAsia="en-US"/>
              </w:rPr>
              <w:t>sywane.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Projektowane rozporządzenie określi: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2"/>
              </w:numPr>
              <w:suppressAutoHyphens w:val="0"/>
              <w:autoSpaceDE/>
              <w:autoSpaceDN/>
              <w:spacing w:line="240" w:lineRule="auto"/>
              <w:ind w:left="318" w:hanging="318"/>
              <w:contextualSpacing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wymagania w zakresie kwalifikacji, wiedzy i doświadczenia członków komisji egzaminacyjnej;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2"/>
              </w:numPr>
              <w:suppressAutoHyphens w:val="0"/>
              <w:autoSpaceDE/>
              <w:autoSpaceDN/>
              <w:spacing w:line="240" w:lineRule="auto"/>
              <w:ind w:left="318" w:hanging="318"/>
              <w:contextualSpacing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tryb i sposób przeprowadzania egzaminów państwowych na licencje, świadectwa kwalifikacji lub uprawnienia lotnicze do nich wpisywane;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2"/>
              </w:numPr>
              <w:suppressAutoHyphens w:val="0"/>
              <w:autoSpaceDE/>
              <w:autoSpaceDN/>
              <w:spacing w:line="240" w:lineRule="auto"/>
              <w:ind w:left="318" w:hanging="318"/>
              <w:contextualSpacing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tryb i sposób przeprowadzania egzaminów w zakresie uprawnień językowych wpisywanych do licencji lub świadectw kwalifikacji;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2"/>
              </w:numPr>
              <w:suppressAutoHyphens w:val="0"/>
              <w:autoSpaceDE/>
              <w:autoSpaceDN/>
              <w:spacing w:line="240" w:lineRule="auto"/>
              <w:ind w:left="318" w:hanging="318"/>
              <w:contextualSpacing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wzór </w:t>
            </w:r>
            <w:r w:rsidRPr="00BB3079">
              <w:rPr>
                <w:rFonts w:eastAsia="Calibri" w:cs="Times New Roman"/>
                <w:bCs/>
                <w:color w:val="000000"/>
                <w:spacing w:val="-2"/>
                <w:sz w:val="20"/>
                <w:lang w:eastAsia="en-US"/>
              </w:rPr>
              <w:t>upoważnienia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egzaminatora;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2"/>
              </w:numPr>
              <w:suppressAutoHyphens w:val="0"/>
              <w:autoSpaceDE/>
              <w:autoSpaceDN/>
              <w:spacing w:line="240" w:lineRule="auto"/>
              <w:ind w:left="318" w:hanging="318"/>
              <w:contextualSpacing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szczegółowe zasady wynagradzania członków komisji egzaminacyjnej (stawki wynagrodzenia dla egzaminatorów są większe niż dotychczas przyjęte – zgodnie z oczekiwaniami wykwalifikowanych egzaminatorów przy czym wymagania stawiane egzaminatorom nie zmienią się w stosunku do stanu obecnego). 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307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spacing w:val="-2"/>
                <w:sz w:val="20"/>
                <w:lang w:eastAsia="en-US"/>
              </w:rPr>
              <w:t>Jak problem został rozwiązany w innych krajach, w szczególności krajach członkowskich OECD/UE</w:t>
            </w: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?</w:t>
            </w:r>
            <w:r w:rsidRPr="00BB3079">
              <w:rPr>
                <w:rFonts w:eastAsia="Calibri" w:cs="Times New Roman"/>
                <w:i/>
                <w:color w:val="000000"/>
                <w:sz w:val="20"/>
                <w:lang w:eastAsia="en-US"/>
              </w:rPr>
              <w:t xml:space="preserve"> 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BB3079" w:rsidRPr="00BB3079" w:rsidRDefault="00BB3079" w:rsidP="00C610E6">
            <w:pPr>
              <w:pStyle w:val="Tekstkomentarza"/>
              <w:spacing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B307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 xml:space="preserve">Każdy z nadzorów lotniczych Unii Europejskiej w sposób odrębny reguluje kwestie egzaminów teoretycznych i egzaminów praktycznych na licencje, świadectwa kwalifikacji lub uprawnienia do nich wpisywane w zakresie nieobjętym regulacjami unijnymi, </w:t>
            </w:r>
            <w:r w:rsidR="00C610E6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br/>
            </w:r>
            <w:r w:rsidRPr="00BB3079">
              <w:rPr>
                <w:rFonts w:ascii="Times New Roman" w:eastAsia="Calibri" w:hAnsi="Times New Roman"/>
                <w:color w:val="000000"/>
                <w:spacing w:val="-2"/>
                <w:sz w:val="20"/>
                <w:szCs w:val="20"/>
                <w:lang w:eastAsia="en-US"/>
              </w:rPr>
              <w:t xml:space="preserve">a także kwestie związane z wynagradzaniem lotniczych egzaminatorów państwowych (kwestie wynagradzania nie są regulowane przepisami Unii Europejskiej). </w:t>
            </w:r>
            <w:r w:rsidRPr="00BB307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Polski nadzór lotniczy nie dysponuje szczegółowymi danymi w powyższym zakresie jednakże można stwierdzić, że w krajach regionu (Europa Środkowa) są one zbliżone do stawek polskich</w:t>
            </w:r>
            <w:r w:rsidR="00C610E6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>,</w:t>
            </w:r>
            <w:r w:rsidRPr="00BB3079">
              <w:rPr>
                <w:rFonts w:ascii="Times New Roman" w:hAnsi="Times New Roman"/>
                <w:color w:val="000000"/>
                <w:spacing w:val="-2"/>
                <w:sz w:val="20"/>
                <w:szCs w:val="20"/>
              </w:rPr>
              <w:t xml:space="preserve"> natomiast w krajach Europy Zachodniej stawki wynagrodzeń dla egzaminatorów są wyższe 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359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Podmioty, na które oddziałuje projekt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40" w:line="240" w:lineRule="auto"/>
              <w:jc w:val="center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Grupa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40" w:line="240" w:lineRule="auto"/>
              <w:jc w:val="center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Wielkość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40" w:line="240" w:lineRule="auto"/>
              <w:jc w:val="center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Źródło danych</w:t>
            </w:r>
            <w:r w:rsidRPr="00BB3079" w:rsidDel="00260F33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40" w:line="240" w:lineRule="auto"/>
              <w:jc w:val="center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Oddziaływanie</w:t>
            </w:r>
          </w:p>
        </w:tc>
      </w:tr>
      <w:tr w:rsidR="00BB3079" w:rsidRPr="00BB3079" w:rsidTr="00BB3079">
        <w:trPr>
          <w:gridAfter w:val="1"/>
          <w:wAfter w:w="10" w:type="dxa"/>
          <w:trHeight w:val="592"/>
        </w:trPr>
        <w:tc>
          <w:tcPr>
            <w:tcW w:w="2668" w:type="dxa"/>
            <w:gridSpan w:val="3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Członkowie personelu lotniczego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ok. 18</w:t>
            </w:r>
            <w:r w:rsidR="00C610E6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000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Rejestr Personelu Lotniczego w Urzędzie Lotnictwa Cywilnego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Uporządkowanie zasad uzyskiwania licencji i uprawnień krajowych. Procedowany dokument porządkuje i precyzuje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lastRenderedPageBreak/>
              <w:t>sposób przystępowania do egzaminów państwowych w zakresie licencji i uprawnień do nich wpisywanych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lastRenderedPageBreak/>
              <w:t>Społeczeństwo (ew. kandydaci do uzyskania licencji lotniczych/świadectw kwalifikacji/nowych uprawnień do nich wpisywanych)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wielkość niemierzalna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fakty powszechnie znane nie wymagające dowodzenia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Uporządkowanie zasad uzyskiwania licencji i uprawnień krajowych. Procedowany dokument porządkuje i precyzuje sposób przystępowania do egzaminów państwowych w zakresie licencji i uprawnień do nich wpisywanych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Członkowie komisji egzaminacyjnej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ok. 350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  <w:tc>
          <w:tcPr>
            <w:tcW w:w="2996" w:type="dxa"/>
            <w:gridSpan w:val="12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Lotnicza Komisja Egzaminacyjna w Urzędzie Lotnictwa Cywilnego (listy egzaminatorów teoretycznych oraz egzaminatorów praktycznych)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Projekt oddziałuje na członków komisji egzaminacyjnych w zakresie procedur przeprowadzania egzaminu teoretycznego lub praktycznego.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BB3079" w:rsidRPr="00BB3079" w:rsidRDefault="00BB3079" w:rsidP="00C610E6">
            <w:pPr>
              <w:widowControl/>
              <w:tabs>
                <w:tab w:val="left" w:pos="1560"/>
              </w:tabs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Urząd Lotnictwa Cywilnego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1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ustawa – Prawo lotnicze</w:t>
            </w:r>
          </w:p>
        </w:tc>
        <w:tc>
          <w:tcPr>
            <w:tcW w:w="2981" w:type="dxa"/>
            <w:gridSpan w:val="6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Zwiększono stawki wypłacanego wynagrodzenia członkom komisji egzaminacyjnej oraz zmieniono niektóre reguły postępowania przy egzaminowaniu, które ULC od czasu wejścia w życie projektu będzie musiał stosować.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2668" w:type="dxa"/>
            <w:gridSpan w:val="3"/>
            <w:shd w:val="clear" w:color="auto" w:fill="auto"/>
          </w:tcPr>
          <w:p w:rsidR="00BB3079" w:rsidRPr="00BB3079" w:rsidRDefault="00BB3079" w:rsidP="00C610E6">
            <w:pPr>
              <w:widowControl/>
              <w:tabs>
                <w:tab w:val="left" w:pos="1560"/>
              </w:tabs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Ośrodki/organizacje szkolenia lotniczego/ organizacje szkolące mechaników/</w:t>
            </w:r>
          </w:p>
          <w:p w:rsidR="00BB3079" w:rsidRPr="00BB3079" w:rsidRDefault="00BB3079" w:rsidP="00C610E6">
            <w:pPr>
              <w:widowControl/>
              <w:tabs>
                <w:tab w:val="left" w:pos="1560"/>
              </w:tabs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podmioty rejestrowane</w:t>
            </w:r>
          </w:p>
        </w:tc>
        <w:tc>
          <w:tcPr>
            <w:tcW w:w="2292" w:type="dxa"/>
            <w:gridSpan w:val="8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ok. 240</w:t>
            </w:r>
          </w:p>
        </w:tc>
        <w:tc>
          <w:tcPr>
            <w:tcW w:w="2996" w:type="dxa"/>
            <w:gridSpan w:val="12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Wykaz certyfikowanych ośrodków szkolenia lotniczego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wykaz ośrodków szkolenia MTO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wykaz ośrodków szkolenia mechaników do krajowych licencji i świadectw kwalifikacji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rejestr podmiotów szkolących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wykaz certyfikowanych ośrodków szkolenia personelu służb ruchu lotniczego (CAPTO)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akty normatywne dotyczące funkcjonowania ośrodków/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prganizacji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szkolenia lotniczego (rozporządzenia z art. 104 ust. 1 i art. 163 ustawy – Prawo lotnicze oraz rozporządzenie Komisji (UE) nr 1178/2011 z dnia 3 listopada 2011 r.  ustanawiające wymagania techniczne i procedury administracyjne odnoszące się do załóg w lotnictwie cywilnym zgodnie z rozporządzeniem Parlamentu Europejskiego i Rady (WE) nr 216/2008)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art. 95a ust. 1 ustawy – Prawo lotnicze (dotyczy podmiotów rejestrowanych, szkolących do świadectw kwalifikacji)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  <w:tc>
          <w:tcPr>
            <w:tcW w:w="2981" w:type="dxa"/>
            <w:gridSpan w:val="6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Uporządkowanie zasad uzyskiwania licencji i uprawnień krajowych. Procedowany dokument porządkuje i precyzuje sposób przystępowania do egzaminów państwowych w zakresie licencji i uprawnień do nich wpisywanych</w:t>
            </w:r>
          </w:p>
        </w:tc>
      </w:tr>
      <w:tr w:rsidR="00BB3079" w:rsidRPr="00BB3079" w:rsidTr="00BB3079">
        <w:trPr>
          <w:gridAfter w:val="1"/>
          <w:wAfter w:w="10" w:type="dxa"/>
          <w:trHeight w:val="30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lastRenderedPageBreak/>
              <w:t>Informacje na temat zakresu, czasu trwania i podsumowanie wyników konsultacji</w:t>
            </w:r>
          </w:p>
        </w:tc>
      </w:tr>
      <w:tr w:rsidR="00BB3079" w:rsidRPr="00BB3079" w:rsidTr="00BB3079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Projekt został skonsultowany publicznie z następującymi podmiotami: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Aeroklub Polski,  ul. 17 Stycznia 39, 00-906 Warszawa; 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General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Aviation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Sp. z o. o.,  Góraszka, 05-462 Wiązowna;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AOSL WSOSP w Dęblinie, ul. Dywizjonu 303 nr 12, 08-521 Dęblin;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PLL LOT S.A.,  ul. 17 Stycznia 39, 00-906 Warszawa;  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Henor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- Szkoła Motolotniowa, ul. Powodowo, 164-200 Olsztyn; 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Kompol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- Szkoła Motolotniowa, Chmielewo 20, 06-150 Świercze;  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Aeroteka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ul. 3 Maja 49, 05-080 Izabelin;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AVIA - TECH Szkoła Lotnicza,  ul. Zagórze 1, 38-400 Krosno;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Polskie Stowarzyszenie Sportów Powietrznych, ul. Żytnia 15/12, 01-014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Państwowa Wyższa Szkoła Zawodowa w Chełmie, ul. Pocztowa 54, 22-100 Chełm;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EUROLOT, ul. 17 Stycznia 39, 00-906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Polska Agencja Żeglugi Powietrznej,  ul. Wieżowa 8, 02-147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AIRCOM, ul. Mokotowska 15 A lok. 4, 00-640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Bartler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- Usługi Lotnicze, Szczepan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Bartler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Al. Racławickie 33/22, 20-049 Lublin;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Skydive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- Club 3Miasto, ul. Słoneczna 1/4, 81-198 Mosty;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FHU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Tarm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- Marek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Tarczykowski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, ul. Hippiczna 22, 86-005 Białe Błota; 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AD ASTRA, ul. Romana Popiołka 16, 01-496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Adriana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Aviation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Watorowo, 86-253 Kijewo Królewskie;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AEROGRYF AVIATION, ul. Przestrzenna 10, 70-800 Szczecin;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Bielsko-Bialski, ul. Cieszyńska 321, 43-300 Bielsko Biała;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Częstochowski, ul. Polskiej Organizacji Wojskowej 4, 42-200 Częstochowa;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Kielecki, ul. Jana Pawła II 9, 26-001 Masłów;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Krakowski, Al. Jana Pawła II 17, 30-969 Kraków;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Orląt w Dęblinie, ul. Dywizjonu 303/182, 08-521 Dęblin;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Pomorski, ul. 4 Pułku Lotniczego 17, 87-100 Toruń;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Poznański, Lotnisko Kobylnica, 62-006 Poznań;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Śląski w Katowicach, Lotnisko Muchowiec, 40-271 Katowice;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Warszawski, ul. Księżycowa 1, 01-934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Ziemi Lubuskiej, ul. Skokowa 18, 66-015 Zielona Góra;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Aeroklub Ziemi Piotrkowskiej, ul. Przemysłowa 48, 97-300 Piotrków Trybunalski;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Bartolini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Air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ul. Tymienieckiego 22/24, 90-349 Łódź;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Bielski Park Technologiczny Lotnictwa, Przedsiębiorczości i Innowacji,  ul. S.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Kóski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43, 43-512 Kaniów;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EADS ZUA MIELEC, skr. poczt. 51, 39-300 Mielec;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EXIN, ul. Rynek 18, 20-111 Lublin;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Fly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Polska Sp. z o.o., Jasionka – Lotnisko, 36-002 Jasionka;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FLY SERVICE, ul. Skarżyńskiego 36, 54-530 Wrocław;  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Flyer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Aviation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, ul. Instalatorów 9, 02-875 Warszawa;   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GoldWings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Flight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Academy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ul. Batystowa 4/1, 02-835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Heli Invest, ul. Sternicza 107, 01-350 Warszawa;</w:t>
            </w:r>
          </w:p>
          <w:p w:rsidR="00BB3079" w:rsidRPr="00BB3079" w:rsidRDefault="00CF3263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IBEX, ul. Jana Kazimierza 11 l</w:t>
            </w:r>
            <w:r w:rsidR="00BB3079"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ok. 4, 01-248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Lotnicze Pogotowie Ratunkowe, ul. Księżycowa 5, 01-934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NORMAL Piotr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Jafernik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ul. Cieszyńska 319, 43-300 Bielsko Biała;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OKL Politechnika Rzeszowska, Jasionka 915, 36-906 Trzebownisko;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PP-AERO - Ośrodek Szkolenia Lotniczego, ul. Nastrojowa 16, 02-441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PZL Mielec, ul. Wojska Polskiego 3, 39-300 Mielec;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PZL Świdnik, Al. Lotników Polskich 1, 21-045 Świdnik;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Royal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Star Aero, ul. Kosmonautów – Lotnisko, 39-300 Mielec;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RUNWAY, ul. gen. S. Kaliskiego 57, 01-476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SILVAIR, Al. Komisji Edukacji Narodowej 93/B3, 02-777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Smart Aero Service - Tomasz Malec, ul. Wybraniecka 32, 25-128 Kielce;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SPRINT AIR, ul. Szyszkowa 20, 02-285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 xml:space="preserve">TARGOR FLIGHT CLUB,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>Antoniewo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 xml:space="preserve"> 13, 07-311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>Wąsewo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>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Technika/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Aerotechnika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ul. Pokrzywno 8, 61-315 Poznań;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UNITEDSKY, ul. Księżycowa 3, 01-934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Ventum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Air</w:t>
            </w:r>
            <w:proofErr w:type="spellEnd"/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  ul. Wolska 88, 01-141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ŻELAZNY 6,  ul. Poznańska 3, 62-023 Gądki;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Stowarzyszenie Instruktorów Lotniowych i Paralotniowych, ul. Rydygiera 11/4, 5-248 Wrocław;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lastRenderedPageBreak/>
              <w:t>Polskie Stowarzyszenie Paralotniowe, ul. Wolska 87/9, 01-229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IATA, ul. Szpitalna 6/1B, 00-031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Krajowa Rada Lotnictwa, ul. Fabryczna 16-22/23, 00-446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Krajowe Towarzystwo Lotnicze AOPA POLAND, Lotnisko Babice, ul. Gen. Kaliskiego 57 lok. 11, 01-476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ab/>
              <w:t>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Lotnicza Amatorska Federacja Rzeczypospolitej Polskiej, ul. Orła Białego 12, 78-449 Borne Sulinowo;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Związek Polskich Spadochroniarzy, ul. 11 Listopada 17/19 blok 1, 03-446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Związek Zawodowy Kontrolerów Ruchu Lotniczego, ul. Wieżowa 8, 02-147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Związek Zawodowy Naziemnego Personelu Lotniczego, ul. 17 Stycznia 39, 00-906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Związek Zawodowy Pilotów Komunikacyjnych, ul. 17 Stycznia 39, 00-906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Związek Zawodowy Pracowników Służb Ruchu Lotniczego, ul. Wieżowa 8, 02-147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Stowarzyszenie Mechaników Lotniczych, ul. Szkolna 28, 05-822 Milanówek;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Niezależny Samorządny Związek Zawodowy „Solidarność”, ul. Wały Piastowskie 24, 80-855 Gdańsk;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Ogólnopolskie Porozumienie Związków Zawodowych, ul. Kopernika 36/40, 00-924 Warszawa; 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Forum Związków Zawodowych, Plac Teatralny 4, 85-069 Bydgoszcz;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Pracodawcy Rzeczypospolitej Polskiej, ul. Brukselska 7, 03-973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Polska Konfederacja Pracodawców Prywatnych – Lewiatan, ul. Zbyszka Cybulskiego 3, 00-727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Business Centre Club - Związek Pracodawców, Plac Żelaznej Bramy 10, 00-136 Warszawa;</w:t>
            </w:r>
          </w:p>
          <w:p w:rsidR="00BB3079" w:rsidRPr="00BB3079" w:rsidRDefault="00BB3079" w:rsidP="00BB3079">
            <w:pPr>
              <w:widowControl/>
              <w:numPr>
                <w:ilvl w:val="0"/>
                <w:numId w:val="3"/>
              </w:numPr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Związek Rzemiosła Polskiego, skr. poczt. 54, 00-952 Warszawa.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ind w:left="57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ind w:left="57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Dodatkowo, na przełomie 2013/2014 r. odbywały się nieformalne konsultacje z przedstawicielami środowiska lotniczego, podczas których zgłoszono również potrzebę dostosowania przepisów rozporządzenia z upoważnienia art. 99 ust. 6 ustawy – Prawo lotnicze do regulacji unijnych. Jednocześnie powyższe kwestie zgłaszano podczas seminariów dla egzaminatorów prowadzonych przez Wydział Lotniczej Komisji Egzaminacyjnej w Urzędzie Lotnictwa Cywilnego.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ind w:left="57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ind w:left="57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Wyniki przeprowadzonych konsultacji publicznych zostały opisane w Raporcie z konsultacji publicznych</w:t>
            </w:r>
            <w:r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/uzgodnień międzyresortowych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stanowiący</w:t>
            </w:r>
            <w:r w:rsidR="00C610E6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m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załącznik do projektu.</w:t>
            </w:r>
          </w:p>
          <w:p w:rsidR="00162BC3" w:rsidRDefault="00162BC3" w:rsidP="00C610E6">
            <w:pPr>
              <w:widowControl/>
              <w:suppressAutoHyphens w:val="0"/>
              <w:autoSpaceDE/>
              <w:autoSpaceDN/>
              <w:spacing w:line="240" w:lineRule="auto"/>
              <w:ind w:left="57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162BC3" w:rsidRDefault="00815D0A" w:rsidP="00C610E6">
            <w:pPr>
              <w:widowControl/>
              <w:suppressAutoHyphens w:val="0"/>
              <w:autoSpaceDE/>
              <w:autoSpaceDN/>
              <w:spacing w:line="240" w:lineRule="auto"/>
              <w:ind w:left="57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Jednocześnie</w:t>
            </w:r>
            <w:r w:rsidR="00162BC3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, w związku z wprowadzonymi przez projektodawcę autopoprawkami w § 4 i § 7, </w:t>
            </w:r>
            <w:r w:rsidR="00686805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w lipcu 2017 r. </w:t>
            </w:r>
            <w:r w:rsidR="00162BC3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projekt przekazano </w:t>
            </w:r>
            <w:r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do </w:t>
            </w:r>
            <w:r w:rsidR="00162BC3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do</w:t>
            </w:r>
            <w:r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datkowych </w:t>
            </w:r>
            <w:r w:rsidR="00162BC3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konsultacji publicznych</w:t>
            </w:r>
            <w:r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z następującymi podmiotami: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Aeroklub Polski,  ul. 17 Stycznia 39, 00-906 Warszawa; 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AOSL WSOSP w Dęblinie, ul. Dywizjonu 303 nr 12, 08-521 Dęblin;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PLL LOT S.A.,  ul. 17 Stycznia 39, 00-906 Warszawa;  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AVIA - TECH Szkoła Lotnicza,  ul. Zagórze 1, 38-400 Krosno;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u w:val="single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Państwowa Wyższa Szkoła Zawodowa w Chełmie, ul. Pocztowa 54, 22-100 Chełm;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Adriana 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Aviation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Watorowo, 86-253 Kijewo Królewskie;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Bartolini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Air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ul. Tymienieckiego 22/24, 90-349 Łódź;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EADS ZUA MIELEC, skr. poczt. 51, 39-300 Mielec;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FLY SERVICE, ul. Skarżyńskiego 36, 54-530 Wrocław;  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Flyer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Aviation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, ul. Instalatorów 9, 02-875 Warszawa;   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IBEX, ul. Jana Kazimierza 11 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liok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. 4, 01-248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Lotnicze Pogotowie Ratunkowe, ul. Księżycowa 5, 01-934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NORMAL Piotr 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Jafernik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ul. Cieszyńska 319, 43-300 Bielsko Biała;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OKL Politechnika Rzeszowska, Jasionka 915, 36-906 Trzebownisko;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PZL Mielec, ul. Wojska Polskiego 3, 39-300 Mielec;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PZL Świdnik, Al. Lotników Polskich 1, 21-045 Świdnik;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Royal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Star Aero, ul. Kosmonautów – Lotnisko, 39-300 Mielec;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Smart Aero Service - Tomasz Malec, ul. Wybraniecka 32, 25-128 Kielce;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SPRINT AIR, ul. Szyszkowa 20, 02-285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 xml:space="preserve">TARGOR FLIGHT CLUB, 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>Antoniewo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 xml:space="preserve"> 13, 07-311 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>Wąsewo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val="en-US" w:eastAsia="en-US"/>
              </w:rPr>
              <w:t>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Technika/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Aerotechnika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ul. Pokrzywno 8, 61-315 Poznań;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UNITEDSKY, ul. Księżycowa 3, 01-934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Ventum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</w:t>
            </w:r>
            <w:proofErr w:type="spellStart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Air</w:t>
            </w:r>
            <w:proofErr w:type="spellEnd"/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  ul. Wolska 88, 01-141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ŻELAZNY 6,  ul. Poznańska 3, 62-023 Gądki;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Stowarzyszenie Instruktorów Lotniowych i Paralotniowych, ul. Rydygiera 11/4, 5-248 Wrocław;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Krajowe Towarzystwo Lotnicze AOPA POLAND, Lotnisko Babice, ul. Gen. Kaliskiego 57 lok. 11, 01-476 </w:t>
            </w: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ab/>
              <w:t>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Związek Polskich Spadochroniarzy, ul. 11 Listopada 17/19 blok 1, 03-446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Stowarzyszenie Mechaników Lotniczych, ul. Szkolna 28, 05-822 Milanówek;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Niezależny Samorządny Związek Zawodowy „Solidarność”, ul. Wały Piastowskie 24, 80-855 Gdańsk;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Ogólnopolskie Porozumienie Związków Zawodowych, ul. Kopernika 36/40, 00-924 Warszawa; 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Forum Związków Zawodowych, Plac Teatralny 4, 85-069 Bydgoszcz;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lastRenderedPageBreak/>
              <w:t>Pracodawcy Rzeczypospolitej Polskiej, ul. Brukselska 7, 03-973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Polska Konfederacja Pracodawców Prywatnych – Lewiatan, ul. Zbyszka Cybulskiego 3, 00-727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Business Centre Club - Związek Pracodawców, Plac Żelaznej Bramy 10, 00-136 Warszawa;</w:t>
            </w:r>
          </w:p>
          <w:p w:rsidR="00815D0A" w:rsidRPr="00815D0A" w:rsidRDefault="00815D0A" w:rsidP="00815D0A">
            <w:pPr>
              <w:pStyle w:val="Akapitzlist"/>
              <w:widowControl/>
              <w:numPr>
                <w:ilvl w:val="0"/>
                <w:numId w:val="4"/>
              </w:numPr>
              <w:suppressAutoHyphens w:val="0"/>
              <w:autoSpaceDE/>
              <w:autoSpaceDN/>
              <w:spacing w:line="240" w:lineRule="auto"/>
              <w:ind w:hanging="645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815D0A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Związek Rzemiosła Polskiego, skr. poczt. 54, 00-952 Warszawa.</w:t>
            </w:r>
          </w:p>
          <w:p w:rsidR="00BB3079" w:rsidRPr="00BB3079" w:rsidRDefault="00BB3079" w:rsidP="00BB3079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363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lastRenderedPageBreak/>
              <w:t xml:space="preserve"> Wpływ na sektor finansów publicznych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 w:val="restart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40" w:after="40" w:line="276" w:lineRule="auto"/>
              <w:textAlignment w:val="auto"/>
              <w:rPr>
                <w:rFonts w:eastAsia="Calibri" w:cs="Times New Roman"/>
                <w:i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(ceny stałe z …… r.)</w:t>
            </w:r>
          </w:p>
        </w:tc>
        <w:tc>
          <w:tcPr>
            <w:tcW w:w="7804" w:type="dxa"/>
            <w:gridSpan w:val="25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40" w:after="40" w:line="240" w:lineRule="auto"/>
              <w:jc w:val="center"/>
              <w:textAlignment w:val="auto"/>
              <w:rPr>
                <w:rFonts w:eastAsia="Calibri" w:cs="Times New Roman"/>
                <w:i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Skutki w okresie 10 lat od wejścia w życie zmian [mln zł]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3133" w:type="dxa"/>
            <w:gridSpan w:val="4"/>
            <w:vMerge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40" w:after="40" w:line="240" w:lineRule="auto"/>
              <w:textAlignment w:val="auto"/>
              <w:rPr>
                <w:rFonts w:eastAsia="Calibri" w:cs="Times New Roman"/>
                <w:i/>
                <w:color w:val="000000"/>
                <w:sz w:val="20"/>
                <w:lang w:eastAsia="en-US"/>
              </w:rPr>
            </w:pP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4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6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7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8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9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537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before="40" w:after="40" w:line="240" w:lineRule="auto"/>
              <w:jc w:val="center"/>
              <w:textAlignment w:val="auto"/>
              <w:rPr>
                <w:rFonts w:eastAsia="Calibri" w:cs="Times New Roman"/>
                <w:i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i/>
                <w:color w:val="000000"/>
                <w:spacing w:val="-2"/>
                <w:sz w:val="20"/>
                <w:lang w:eastAsia="en-US"/>
              </w:rPr>
              <w:t>Łącznie (0-10)</w:t>
            </w:r>
          </w:p>
        </w:tc>
      </w:tr>
      <w:tr w:rsidR="00BB3079" w:rsidRPr="00BB3079" w:rsidTr="00BB3079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Dochody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trHeight w:val="32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trHeight w:val="344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Wydatki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trHeight w:val="33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trHeight w:val="351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Saldo ogółem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trHeight w:val="360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budżet państwa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JST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trHeight w:val="357"/>
        </w:trPr>
        <w:tc>
          <w:tcPr>
            <w:tcW w:w="3133" w:type="dxa"/>
            <w:gridSpan w:val="4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pozostałe jednostki (oddzielnie)</w:t>
            </w:r>
          </w:p>
        </w:tc>
        <w:tc>
          <w:tcPr>
            <w:tcW w:w="569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69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570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54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gridAfter w:val="1"/>
          <w:wAfter w:w="10" w:type="dxa"/>
          <w:trHeight w:val="348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Źródła finansowania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Wejście w życie projektowanego rozporządzenia nie spowoduje skutków finansowych polegających na zwiększeniu wydatków lub zmniejszeniu dochodów budżetu państwa i budżetów jednostek samorządu terytorialnego, w stosunku do wielkości wynikających z obowiązujących przepisów.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926"/>
        </w:trPr>
        <w:tc>
          <w:tcPr>
            <w:tcW w:w="2243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Dodatkowe informacje, w tym wskazanie źródeł danych i przyjętych do obliczeń założeń</w:t>
            </w:r>
          </w:p>
        </w:tc>
        <w:tc>
          <w:tcPr>
            <w:tcW w:w="8694" w:type="dxa"/>
            <w:gridSpan w:val="27"/>
            <w:shd w:val="clear" w:color="auto" w:fill="FFFFFF"/>
          </w:tcPr>
          <w:p w:rsidR="00BB3079" w:rsidRPr="00BB3079" w:rsidRDefault="00BB3079" w:rsidP="00C610E6">
            <w:pPr>
              <w:spacing w:line="240" w:lineRule="auto"/>
              <w:jc w:val="both"/>
              <w:rPr>
                <w:rFonts w:cs="Times New Roman"/>
                <w:sz w:val="20"/>
              </w:rPr>
            </w:pPr>
            <w:r w:rsidRPr="00BB3079">
              <w:rPr>
                <w:rFonts w:cs="Times New Roman"/>
                <w:sz w:val="20"/>
              </w:rPr>
              <w:t xml:space="preserve">Z danych ULC wynika, że w 2015 r. egzaminatorzy Komisji Egzaminacyjnej przeprowadzili ponad </w:t>
            </w:r>
            <w:r w:rsidR="00C610E6">
              <w:rPr>
                <w:rFonts w:cs="Times New Roman"/>
                <w:sz w:val="20"/>
              </w:rPr>
              <w:br/>
            </w:r>
            <w:r w:rsidRPr="00BB3079">
              <w:rPr>
                <w:rFonts w:cs="Times New Roman"/>
                <w:sz w:val="20"/>
              </w:rPr>
              <w:t>15</w:t>
            </w:r>
            <w:r w:rsidR="00C610E6">
              <w:rPr>
                <w:rFonts w:cs="Times New Roman"/>
                <w:sz w:val="20"/>
              </w:rPr>
              <w:t xml:space="preserve"> </w:t>
            </w:r>
            <w:r w:rsidRPr="00BB3079">
              <w:rPr>
                <w:rFonts w:cs="Times New Roman"/>
                <w:sz w:val="20"/>
              </w:rPr>
              <w:t>000 egzaminów państwowych. Z tego tytułu do Skarbu Państwa wpłynęła kwota w wysokości ponad 3</w:t>
            </w:r>
            <w:r w:rsidR="00C610E6">
              <w:rPr>
                <w:rFonts w:cs="Times New Roman"/>
                <w:sz w:val="20"/>
              </w:rPr>
              <w:t xml:space="preserve"> </w:t>
            </w:r>
            <w:r w:rsidRPr="00BB3079">
              <w:rPr>
                <w:rFonts w:cs="Times New Roman"/>
                <w:sz w:val="20"/>
              </w:rPr>
              <w:t>000</w:t>
            </w:r>
            <w:r w:rsidR="00C610E6">
              <w:rPr>
                <w:rFonts w:cs="Times New Roman"/>
                <w:sz w:val="20"/>
              </w:rPr>
              <w:t xml:space="preserve"> </w:t>
            </w:r>
            <w:r w:rsidRPr="00BB3079">
              <w:rPr>
                <w:rFonts w:cs="Times New Roman"/>
                <w:sz w:val="20"/>
              </w:rPr>
              <w:t>000 zł. Wydatki ULC, za wykonane czynności egzaminacyjne, wyniosły ponad 700</w:t>
            </w:r>
            <w:r w:rsidR="00C610E6">
              <w:rPr>
                <w:rFonts w:cs="Times New Roman"/>
                <w:sz w:val="20"/>
              </w:rPr>
              <w:t xml:space="preserve"> </w:t>
            </w:r>
            <w:r w:rsidRPr="00BB3079">
              <w:rPr>
                <w:rFonts w:cs="Times New Roman"/>
                <w:sz w:val="20"/>
              </w:rPr>
              <w:t>000 zł.</w:t>
            </w:r>
          </w:p>
          <w:p w:rsidR="00BB3079" w:rsidRPr="00BB3079" w:rsidRDefault="00BB3079" w:rsidP="00C610E6">
            <w:pPr>
              <w:spacing w:line="240" w:lineRule="auto"/>
              <w:jc w:val="both"/>
              <w:rPr>
                <w:rFonts w:cs="Times New Roman"/>
                <w:sz w:val="20"/>
              </w:rPr>
            </w:pPr>
            <w:r w:rsidRPr="00BB3079">
              <w:rPr>
                <w:rFonts w:cs="Times New Roman"/>
                <w:sz w:val="20"/>
              </w:rPr>
              <w:t xml:space="preserve">Liczba przeprowadzonych egzaminów państwowych </w:t>
            </w:r>
            <w:r w:rsidR="00C610E6">
              <w:rPr>
                <w:rFonts w:cs="Times New Roman"/>
                <w:sz w:val="20"/>
              </w:rPr>
              <w:t xml:space="preserve">w </w:t>
            </w:r>
            <w:r w:rsidRPr="00BB3079">
              <w:rPr>
                <w:rFonts w:cs="Times New Roman"/>
                <w:sz w:val="20"/>
              </w:rPr>
              <w:t>2015 r. wskazuje, w stosunku do lat poprzednich, na lawinowy wzrost liczby przeprowadzonych egzaminów teoretycznych i praktycznych do uzyskania świadectwa kwalifikacji członków personelu lotniczego oraz uprawnień lotniczych do nich wpisywanych.  Zwiększona liczba przeprowadzonych egzaminów państwowych w zakresie świadectwa kwalifikacji operatora bezzałogowego statku powietrznego używanego w celach innych niż rekreacyjne lub sportowe (UAVO) wynika z dynamicznego wzrostu zainteresowania dronami na polskim rynku, która stale rośnie.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highlight w:val="yellow"/>
                <w:lang w:eastAsia="en-US"/>
              </w:rPr>
            </w:pPr>
            <w:r w:rsidRPr="00BB3079">
              <w:rPr>
                <w:rFonts w:cs="Times New Roman"/>
                <w:sz w:val="20"/>
              </w:rPr>
              <w:t>Biorąc pod uwagę proponowaną nową tabelę stawek wynagrodzenia dotyczącą egzaminów praktycznych oraz rosnącą liczbę osób ubiegających się o licencje lub świadectwa kwalifikacji, w kolejnych latach należy spodziewać się wzrostu wydatków na ten cel. Przewiduje się, że kwota wynagrodzenia egzaminatorów, za realizację egzaminów państwowych w latach 2016-2020, nie powinna przekroczyć sumy 900</w:t>
            </w:r>
            <w:r w:rsidR="00C610E6">
              <w:rPr>
                <w:rFonts w:cs="Times New Roman"/>
                <w:sz w:val="20"/>
              </w:rPr>
              <w:t xml:space="preserve"> </w:t>
            </w:r>
            <w:r w:rsidRPr="00BB3079">
              <w:rPr>
                <w:rFonts w:cs="Times New Roman"/>
                <w:sz w:val="20"/>
              </w:rPr>
              <w:t>000 zł. Należy jednak zauważyć, że zwiększone wpływy z tytułu egzaminów (większa liczba kandydatów) pokryją zwiększone wydatki na egzaminy przez co projekt nie spowoduje zwiększenia wydatków budżetu państwa.</w:t>
            </w:r>
          </w:p>
        </w:tc>
      </w:tr>
      <w:tr w:rsidR="00BB3079" w:rsidRPr="00BB3079" w:rsidTr="00BB3079">
        <w:trPr>
          <w:gridAfter w:val="1"/>
          <w:wAfter w:w="10" w:type="dxa"/>
          <w:trHeight w:val="345"/>
        </w:trPr>
        <w:tc>
          <w:tcPr>
            <w:tcW w:w="10937" w:type="dxa"/>
            <w:gridSpan w:val="29"/>
            <w:shd w:val="clear" w:color="auto" w:fill="99CCFF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120" w:after="120" w:line="240" w:lineRule="auto"/>
              <w:jc w:val="both"/>
              <w:textAlignment w:val="auto"/>
              <w:rPr>
                <w:rFonts w:eastAsia="Calibri" w:cs="Times New Roman"/>
                <w:b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pacing w:val="-2"/>
                <w:sz w:val="20"/>
                <w:lang w:eastAsia="en-US"/>
              </w:rPr>
              <w:t xml:space="preserve">Wpływ na </w:t>
            </w: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 xml:space="preserve">konkurencyjność gospodarki i przedsiębiorczość, w tym funkcjonowanie przedsiębiorców oraz na rodzinę, obywateli i gospodarstwa domowe 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Skutki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3889" w:type="dxa"/>
            <w:gridSpan w:val="7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Czas w latach od wejścia w życie zmian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1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2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3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5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10</w:t>
            </w:r>
          </w:p>
        </w:tc>
        <w:tc>
          <w:tcPr>
            <w:tcW w:w="1422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center"/>
              <w:textAlignment w:val="auto"/>
              <w:rPr>
                <w:rFonts w:eastAsia="Calibri" w:cs="Times New Roman"/>
                <w:i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i/>
                <w:color w:val="000000"/>
                <w:spacing w:val="-2"/>
                <w:sz w:val="20"/>
                <w:lang w:eastAsia="en-US"/>
              </w:rPr>
              <w:t>Łącznie</w:t>
            </w:r>
            <w:r w:rsidRPr="00BB3079" w:rsidDel="0073273A">
              <w:rPr>
                <w:rFonts w:eastAsia="Calibri" w:cs="Times New Roman"/>
                <w:i/>
                <w:color w:val="000000"/>
                <w:spacing w:val="-2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i/>
                <w:color w:val="000000"/>
                <w:spacing w:val="-2"/>
                <w:sz w:val="20"/>
                <w:lang w:eastAsia="en-US"/>
              </w:rPr>
              <w:t>(0-10)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76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W ujęciu pieniężnym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76" w:lineRule="auto"/>
              <w:textAlignment w:val="auto"/>
              <w:rPr>
                <w:rFonts w:eastAsia="Calibri" w:cs="Times New Roman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spacing w:val="-2"/>
                <w:sz w:val="20"/>
                <w:lang w:eastAsia="en-US"/>
              </w:rPr>
              <w:t xml:space="preserve">(w mln zł, 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spacing w:val="-2"/>
                <w:sz w:val="20"/>
                <w:lang w:eastAsia="en-US"/>
              </w:rPr>
              <w:t>ceny stałe z …… r.)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duże przedsiębiorstwa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38" w:type="dxa"/>
            <w:gridSpan w:val="5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3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38" w:type="dxa"/>
            <w:gridSpan w:val="4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938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1422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sektor mikro-, małych i średnich przedsiębiorstw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sz w:val="20"/>
                <w:lang w:eastAsia="en-US"/>
              </w:rPr>
              <w:t>rodzina, obywatele oraz gospodarstwa domowe</w:t>
            </w:r>
          </w:p>
        </w:tc>
        <w:tc>
          <w:tcPr>
            <w:tcW w:w="937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5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7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4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938" w:type="dxa"/>
            <w:gridSpan w:val="3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0</w:t>
            </w:r>
          </w:p>
        </w:tc>
        <w:tc>
          <w:tcPr>
            <w:tcW w:w="1422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0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596" w:type="dxa"/>
            <w:vMerge w:val="restart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W ujęciu 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lastRenderedPageBreak/>
              <w:t>niepieniężnym</w:t>
            </w:r>
          </w:p>
        </w:tc>
        <w:tc>
          <w:tcPr>
            <w:tcW w:w="2293" w:type="dxa"/>
            <w:gridSpan w:val="6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lastRenderedPageBreak/>
              <w:t>duże przedsiębiorstwa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brak wpływu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596" w:type="dxa"/>
            <w:vMerge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sektor mikro-, małych i średnich przedsiębiorstw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brak wpływu</w:t>
            </w:r>
          </w:p>
        </w:tc>
      </w:tr>
      <w:tr w:rsidR="00BB3079" w:rsidRPr="00BB3079" w:rsidTr="00BB3079">
        <w:trPr>
          <w:gridAfter w:val="1"/>
          <w:wAfter w:w="10" w:type="dxa"/>
          <w:trHeight w:val="596"/>
        </w:trPr>
        <w:tc>
          <w:tcPr>
            <w:tcW w:w="1596" w:type="dxa"/>
            <w:vMerge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  <w:tc>
          <w:tcPr>
            <w:tcW w:w="2293" w:type="dxa"/>
            <w:gridSpan w:val="6"/>
            <w:shd w:val="clear" w:color="auto" w:fill="FFFFFF"/>
          </w:tcPr>
          <w:p w:rsidR="00BB3079" w:rsidRPr="00BB3079" w:rsidRDefault="00BB3079" w:rsidP="00C610E6">
            <w:pPr>
              <w:widowControl/>
              <w:tabs>
                <w:tab w:val="right" w:pos="1936"/>
              </w:tabs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sz w:val="20"/>
                <w:lang w:eastAsia="en-US"/>
              </w:rPr>
              <w:t>rodzina, obywatele oraz gospodarstwa domowe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</w:p>
        </w:tc>
        <w:tc>
          <w:tcPr>
            <w:tcW w:w="7048" w:type="dxa"/>
            <w:gridSpan w:val="2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brak wpływu</w:t>
            </w:r>
          </w:p>
        </w:tc>
      </w:tr>
      <w:tr w:rsidR="00BB3079" w:rsidRPr="00BB3079" w:rsidTr="00BB3079">
        <w:trPr>
          <w:gridAfter w:val="1"/>
          <w:wAfter w:w="10" w:type="dxa"/>
          <w:trHeight w:val="493"/>
        </w:trPr>
        <w:tc>
          <w:tcPr>
            <w:tcW w:w="1596" w:type="dxa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Niemierzalne</w:t>
            </w:r>
          </w:p>
        </w:tc>
        <w:tc>
          <w:tcPr>
            <w:tcW w:w="9341" w:type="dxa"/>
            <w:gridSpan w:val="28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Określony prawem UE obowiązek posiadania uprawnienia językowego w ramach licencji członka personelu lotniczego może mieć wpływ na wzrost konkurencji w sektorze kształcenia specjalistycznego języka lotniczego. Zmiany wynikające z wejścia w życie rozporządzenia nr 1178/2011 oraz rozporządzenia nr 805/2011, regulujące obszary do tej pory niedoregulowane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 mogą spowodować wzrost konkurencyjności podmiotów kształcących w tym obszarze.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76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643"/>
        </w:trPr>
        <w:tc>
          <w:tcPr>
            <w:tcW w:w="2243" w:type="dxa"/>
            <w:gridSpan w:val="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Dodatkowe informacje, w tym wskazanie źródeł danych i przyjętych do obliczeń założeń 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342"/>
        </w:trPr>
        <w:tc>
          <w:tcPr>
            <w:tcW w:w="10937" w:type="dxa"/>
            <w:gridSpan w:val="29"/>
            <w:shd w:val="clear" w:color="auto" w:fill="99CCFF"/>
            <w:vAlign w:val="center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 xml:space="preserve"> Zmiana obciążeń regulacyjnych (w tym obowiązków informacyjnych) wynikających z projektu</w:t>
            </w:r>
          </w:p>
        </w:tc>
      </w:tr>
      <w:tr w:rsidR="00BB3079" w:rsidRPr="00BB3079" w:rsidTr="00BB3079">
        <w:trPr>
          <w:gridAfter w:val="1"/>
          <w:wAfter w:w="10" w:type="dxa"/>
          <w:trHeight w:val="151"/>
        </w:trPr>
        <w:tc>
          <w:tcPr>
            <w:tcW w:w="10937" w:type="dxa"/>
            <w:gridSpan w:val="2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nie dotyczy</w:t>
            </w:r>
          </w:p>
        </w:tc>
      </w:tr>
      <w:tr w:rsidR="00BB3079" w:rsidRPr="00BB3079" w:rsidTr="00BB3079">
        <w:trPr>
          <w:gridAfter w:val="1"/>
          <w:wAfter w:w="10" w:type="dxa"/>
          <w:trHeight w:val="946"/>
        </w:trPr>
        <w:tc>
          <w:tcPr>
            <w:tcW w:w="5111" w:type="dxa"/>
            <w:gridSpan w:val="1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76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Wprowadzane są obciążenia poza bezwzględnie wymaganymi przez UE 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(szczegóły w odwróconej tabeli zgodności).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tak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nie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76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nie dotyczy</w:t>
            </w:r>
          </w:p>
        </w:tc>
      </w:tr>
      <w:tr w:rsidR="00BB3079" w:rsidRPr="00BB3079" w:rsidTr="00BB3079">
        <w:trPr>
          <w:gridAfter w:val="1"/>
          <w:wAfter w:w="10" w:type="dxa"/>
          <w:trHeight w:val="1245"/>
        </w:trPr>
        <w:tc>
          <w:tcPr>
            <w:tcW w:w="5111" w:type="dxa"/>
            <w:gridSpan w:val="1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zmniejszenie liczby dokumentów 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zmniejszenie liczby procedur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skrócenie czasu na załatwienie sprawy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76" w:lineRule="auto"/>
              <w:textAlignment w:val="auto"/>
              <w:rPr>
                <w:rFonts w:eastAsia="Calibri" w:cs="Times New Roman"/>
                <w:b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inne: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FORMTEXT </w:instrTex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zwiększenie liczby dokumentów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zwiększenie liczby procedur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wydłużenie czasu na załatwienie sprawy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inne: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FORMTEXT </w:instrTex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870"/>
        </w:trPr>
        <w:tc>
          <w:tcPr>
            <w:tcW w:w="5111" w:type="dxa"/>
            <w:gridSpan w:val="12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Wprowadzane obciążenia są przystosowane do ich elektronizacji. </w:t>
            </w:r>
          </w:p>
        </w:tc>
        <w:tc>
          <w:tcPr>
            <w:tcW w:w="5826" w:type="dxa"/>
            <w:gridSpan w:val="17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tak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nie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nie dotyczy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630"/>
        </w:trPr>
        <w:tc>
          <w:tcPr>
            <w:tcW w:w="10937" w:type="dxa"/>
            <w:gridSpan w:val="2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Komentarz: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Projektowane rozporządzenie nie spowoduje zmian w stosunku do ilości dokumentów niezbędnych do przedłożenia do Urzędu Lotnictwa Cywilnego celem przystąpienia do egzaminu państwowego.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76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 xml:space="preserve">Wpływ na rynek pracy 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auto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Projektowane rozporządzenie może przyczynić się do szerszego korzystania z nowego zakresu uprawnień lotniczych (w tym językowych), co pośrednio może spowodować wzrost konkurencyjności na rynku w tym obszarze (przez wzrost zatrudnienia w ośrodkach/organizacjach szkolenia lotniczego/rejestrowanych podmiotach szkolących</w:t>
            </w:r>
            <w:r w:rsidR="002F2498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czy przez pojawienie się nowych podmiotów szkolących). 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t>Wpływ na pozostałe obszary</w:t>
            </w:r>
          </w:p>
        </w:tc>
      </w:tr>
      <w:tr w:rsidR="00BB3079" w:rsidRPr="00BB3079" w:rsidTr="00BB3079">
        <w:trPr>
          <w:gridAfter w:val="1"/>
          <w:wAfter w:w="10" w:type="dxa"/>
          <w:trHeight w:val="1031"/>
        </w:trPr>
        <w:tc>
          <w:tcPr>
            <w:tcW w:w="3547" w:type="dxa"/>
            <w:gridSpan w:val="5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środowisko naturalne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sytuacja i rozwój regionalny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inne: 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W przypadku wyboru Upoważnienie ustawowe, Strategia lub Inne wpisz dokładnie źródła tj. jaka ustawa, tytuł strategii i jaki inny dokument"/>
                  <w:statusText w:type="text" w:val="W przypadku wyboru Upoważnienie ustawowe, Strategia lub Inne wpisz dokładnie źródła tj. jaka ustawa, tytuł strategii i jaki inny dokument"/>
                  <w:textInput/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FORMTEXT </w:instrTex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noProof/>
                <w:color w:val="000000"/>
                <w:sz w:val="20"/>
                <w:lang w:eastAsia="en-US"/>
              </w:rPr>
              <w:t> </w:t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</w:p>
        </w:tc>
        <w:tc>
          <w:tcPr>
            <w:tcW w:w="3687" w:type="dxa"/>
            <w:gridSpan w:val="15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demografia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mienie państwowe</w:t>
            </w:r>
          </w:p>
        </w:tc>
        <w:tc>
          <w:tcPr>
            <w:tcW w:w="3703" w:type="dxa"/>
            <w:gridSpan w:val="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informatyzacja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instrText xml:space="preserve"> FORMCHECKBOX </w:instrText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</w:r>
            <w:r w:rsidR="003A632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separate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fldChar w:fldCharType="end"/>
            </w: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 xml:space="preserve"> 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zdrowie</w:t>
            </w:r>
          </w:p>
        </w:tc>
      </w:tr>
      <w:tr w:rsidR="00BB3079" w:rsidRPr="00BB3079" w:rsidTr="00BB3079">
        <w:trPr>
          <w:gridAfter w:val="1"/>
          <w:wAfter w:w="10" w:type="dxa"/>
          <w:trHeight w:val="712"/>
        </w:trPr>
        <w:tc>
          <w:tcPr>
            <w:tcW w:w="2243" w:type="dxa"/>
            <w:gridSpan w:val="2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textAlignment w:val="auto"/>
              <w:rPr>
                <w:rFonts w:eastAsia="Calibri" w:cs="Times New Roman"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z w:val="20"/>
                <w:lang w:eastAsia="en-US"/>
              </w:rPr>
              <w:t>Omówienie wpływu</w:t>
            </w:r>
          </w:p>
        </w:tc>
        <w:tc>
          <w:tcPr>
            <w:tcW w:w="8694" w:type="dxa"/>
            <w:gridSpan w:val="27"/>
            <w:shd w:val="clear" w:color="auto" w:fill="FFFFFF"/>
            <w:vAlign w:val="center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Ewentualny wpływ ze względu na rozwój regionalny przez pojawienie się nowych podmiotów szkolących.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spacing w:val="-2"/>
                <w:sz w:val="20"/>
                <w:lang w:eastAsia="en-US"/>
              </w:rPr>
              <w:t>Planowane wykonanie przepisów aktu prawnego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spacing w:val="-2"/>
                <w:sz w:val="20"/>
                <w:lang w:eastAsia="en-US"/>
              </w:rPr>
              <w:t>Od dnia, w którym wejdzie w życie projektowane rozporządzenie.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z w:val="20"/>
                <w:lang w:eastAsia="en-US"/>
              </w:rPr>
              <w:lastRenderedPageBreak/>
              <w:t xml:space="preserve"> </w:t>
            </w:r>
            <w:r w:rsidRPr="00BB3079">
              <w:rPr>
                <w:rFonts w:eastAsia="Calibri" w:cs="Times New Roman"/>
                <w:b/>
                <w:spacing w:val="-2"/>
                <w:sz w:val="20"/>
                <w:lang w:eastAsia="en-US"/>
              </w:rPr>
              <w:t>W jaki sposób i kiedy nastąpi ewaluacja efektów projektu oraz jakie mierniki zostaną zastosowane?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Planowany efekt zostanie osiągnięty po wejściu w życie projektowanego rozporządzenia (jednocześnie nie wcześniej niż po upływie 1 roku). Ewentualna ewaluacja efektów projektu przedmiotowego rozporządzenia może być posiłkowo prowadzona w oparciu o sprawozdanie roczne z działalności Lotniczej Komisji Egzaminacyjnej</w:t>
            </w:r>
            <w:r w:rsidR="002F2498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,</w:t>
            </w: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 xml:space="preserve"> działającej przy Urzędzie Lotnictwa Cywilnego.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99CCFF"/>
          </w:tcPr>
          <w:p w:rsidR="00BB3079" w:rsidRPr="00BB3079" w:rsidRDefault="00BB3079" w:rsidP="00BB3079">
            <w:pPr>
              <w:widowControl/>
              <w:numPr>
                <w:ilvl w:val="0"/>
                <w:numId w:val="1"/>
              </w:numPr>
              <w:suppressAutoHyphens w:val="0"/>
              <w:autoSpaceDE/>
              <w:autoSpaceDN/>
              <w:spacing w:before="60" w:after="60" w:line="240" w:lineRule="auto"/>
              <w:ind w:left="318" w:hanging="284"/>
              <w:jc w:val="both"/>
              <w:textAlignment w:val="auto"/>
              <w:rPr>
                <w:rFonts w:eastAsia="Calibri" w:cs="Times New Roman"/>
                <w:b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b/>
                <w:color w:val="000000"/>
                <w:spacing w:val="-2"/>
                <w:sz w:val="20"/>
                <w:lang w:eastAsia="en-US"/>
              </w:rPr>
              <w:t xml:space="preserve">Załączniki </w:t>
            </w:r>
            <w:r w:rsidRPr="00BB3079">
              <w:rPr>
                <w:rFonts w:eastAsia="Calibri" w:cs="Times New Roman"/>
                <w:b/>
                <w:spacing w:val="-2"/>
                <w:sz w:val="20"/>
                <w:lang w:eastAsia="en-US"/>
              </w:rPr>
              <w:t>(istotne dokumenty źródłowe, badania, analizy itp.</w:t>
            </w:r>
            <w:r w:rsidRPr="00BB3079">
              <w:rPr>
                <w:rFonts w:eastAsia="Calibri" w:cs="Times New Roman"/>
                <w:b/>
                <w:color w:val="000000"/>
                <w:spacing w:val="-2"/>
                <w:sz w:val="20"/>
                <w:lang w:eastAsia="en-US"/>
              </w:rPr>
              <w:t xml:space="preserve">) </w:t>
            </w:r>
          </w:p>
        </w:tc>
      </w:tr>
      <w:tr w:rsidR="00BB3079" w:rsidRPr="00BB3079" w:rsidTr="00BB3079">
        <w:trPr>
          <w:gridAfter w:val="1"/>
          <w:wAfter w:w="10" w:type="dxa"/>
          <w:trHeight w:val="142"/>
        </w:trPr>
        <w:tc>
          <w:tcPr>
            <w:tcW w:w="10937" w:type="dxa"/>
            <w:gridSpan w:val="29"/>
            <w:shd w:val="clear" w:color="auto" w:fill="FFFFFF"/>
          </w:tcPr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  <w:r w:rsidRPr="00BB3079"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  <w:t>brak</w:t>
            </w:r>
          </w:p>
          <w:p w:rsidR="00BB3079" w:rsidRPr="00BB3079" w:rsidRDefault="00BB3079" w:rsidP="00C610E6">
            <w:pPr>
              <w:widowControl/>
              <w:suppressAutoHyphens w:val="0"/>
              <w:autoSpaceDE/>
              <w:autoSpaceDN/>
              <w:spacing w:line="240" w:lineRule="auto"/>
              <w:jc w:val="both"/>
              <w:textAlignment w:val="auto"/>
              <w:rPr>
                <w:rFonts w:eastAsia="Calibri" w:cs="Times New Roman"/>
                <w:color w:val="000000"/>
                <w:spacing w:val="-2"/>
                <w:sz w:val="20"/>
                <w:lang w:eastAsia="en-US"/>
              </w:rPr>
            </w:pPr>
          </w:p>
        </w:tc>
      </w:tr>
    </w:tbl>
    <w:p w:rsidR="00C610E6" w:rsidRDefault="00C610E6"/>
    <w:sectPr w:rsidR="00C610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Times New Roman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D003D"/>
    <w:multiLevelType w:val="hybridMultilevel"/>
    <w:tmpl w:val="B32C4424"/>
    <w:lvl w:ilvl="0" w:tplc="CE181FB2">
      <w:start w:val="1"/>
      <w:numFmt w:val="decimal"/>
      <w:lvlText w:val="%1)"/>
      <w:lvlJc w:val="left"/>
      <w:pPr>
        <w:tabs>
          <w:tab w:val="num" w:pos="57"/>
        </w:tabs>
        <w:ind w:left="57" w:hanging="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B972729"/>
    <w:multiLevelType w:val="hybridMultilevel"/>
    <w:tmpl w:val="F1CEED8E"/>
    <w:lvl w:ilvl="0" w:tplc="CE181F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092951"/>
    <w:multiLevelType w:val="hybridMultilevel"/>
    <w:tmpl w:val="F0AEFC8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079"/>
    <w:rsid w:val="00162BC3"/>
    <w:rsid w:val="002F2498"/>
    <w:rsid w:val="003A6329"/>
    <w:rsid w:val="00686805"/>
    <w:rsid w:val="006D64AA"/>
    <w:rsid w:val="0074561D"/>
    <w:rsid w:val="00815D0A"/>
    <w:rsid w:val="0084208E"/>
    <w:rsid w:val="00BB3079"/>
    <w:rsid w:val="00BB72C8"/>
    <w:rsid w:val="00C610E6"/>
    <w:rsid w:val="00CF3263"/>
    <w:rsid w:val="00EF1D59"/>
    <w:rsid w:val="00F07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B3079"/>
    <w:pPr>
      <w:widowControl w:val="0"/>
      <w:suppressAutoHyphens/>
      <w:autoSpaceDE w:val="0"/>
      <w:autoSpaceDN w:val="0"/>
      <w:spacing w:after="0" w:line="360" w:lineRule="auto"/>
      <w:textAlignment w:val="baseline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BB3079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079"/>
    <w:rPr>
      <w:rFonts w:ascii="Times" w:eastAsia="Times New Roman" w:hAnsi="Times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D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5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BB3079"/>
    <w:pPr>
      <w:widowControl w:val="0"/>
      <w:suppressAutoHyphens/>
      <w:autoSpaceDE w:val="0"/>
      <w:autoSpaceDN w:val="0"/>
      <w:spacing w:after="0" w:line="360" w:lineRule="auto"/>
      <w:textAlignment w:val="baseline"/>
    </w:pPr>
    <w:rPr>
      <w:rFonts w:ascii="Times New Roman" w:eastAsia="Times New Roman" w:hAnsi="Times New Roman" w:cs="Arial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BB3079"/>
    <w:rPr>
      <w:rFonts w:ascii="Times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B3079"/>
    <w:rPr>
      <w:rFonts w:ascii="Times" w:eastAsia="Times New Roman" w:hAnsi="Times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F1D5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1D59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815D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7</Pages>
  <Words>2984</Words>
  <Characters>17904</Characters>
  <Application>Microsoft Office Word</Application>
  <DocSecurity>0</DocSecurity>
  <Lines>149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Barwinski Marcin</dc:creator>
  <cp:lastModifiedBy>Barwinski Marcin</cp:lastModifiedBy>
  <cp:revision>4</cp:revision>
  <cp:lastPrinted>2017-06-14T08:21:00Z</cp:lastPrinted>
  <dcterms:created xsi:type="dcterms:W3CDTF">2017-07-03T09:42:00Z</dcterms:created>
  <dcterms:modified xsi:type="dcterms:W3CDTF">2017-07-03T11:12:00Z</dcterms:modified>
</cp:coreProperties>
</file>