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0F2CF0" w:rsidRDefault="00EF6910" w:rsidP="006964AE">
            <w:pPr>
              <w:spacing w:before="120"/>
              <w:ind w:hanging="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Start w:id="1" w:name="t1"/>
            <w:bookmarkEnd w:id="0"/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projektu</w:t>
            </w:r>
          </w:p>
          <w:p w:rsidR="000F2CF0" w:rsidRDefault="00B00F98" w:rsidP="006964A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ozporządzenie Ministra Infrastruktury w sprawie </w:t>
            </w:r>
            <w:r w:rsidR="00D6143A" w:rsidRPr="00D6143A">
              <w:rPr>
                <w:rFonts w:ascii="Times New Roman" w:hAnsi="Times New Roman"/>
                <w:color w:val="000000"/>
                <w:sz w:val="24"/>
                <w:szCs w:val="24"/>
              </w:rPr>
              <w:t>konsultacji w celu wprowadzenia ograniczeń operacyjnych w porcie lotniczym</w:t>
            </w:r>
          </w:p>
          <w:p w:rsidR="000F2CF0" w:rsidRDefault="00EF6910" w:rsidP="006964AE">
            <w:pPr>
              <w:spacing w:before="120"/>
              <w:ind w:hanging="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Ministerstwo wiodące i ministerstwa współpracujące</w:t>
            </w:r>
          </w:p>
          <w:bookmarkEnd w:id="1"/>
          <w:p w:rsidR="000F2CF0" w:rsidRDefault="00EF6910">
            <w:pPr>
              <w:spacing w:after="120"/>
              <w:ind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Ministerstwo Infrastruktury</w:t>
            </w:r>
          </w:p>
          <w:p w:rsidR="000F2CF0" w:rsidRDefault="00EF6910" w:rsidP="006964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:rsidR="000F2CF0" w:rsidRDefault="00EF69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z w:val="24"/>
                <w:szCs w:val="24"/>
              </w:rPr>
              <w:t>Ma</w:t>
            </w:r>
            <w:r w:rsidR="005C5979">
              <w:rPr>
                <w:rFonts w:ascii="Times New Roman" w:hAnsi="Times New Roman"/>
                <w:sz w:val="24"/>
                <w:szCs w:val="24"/>
              </w:rPr>
              <w:t>rcin</w:t>
            </w:r>
            <w:r w:rsidRPr="00EF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979">
              <w:rPr>
                <w:rFonts w:ascii="Times New Roman" w:hAnsi="Times New Roman"/>
                <w:sz w:val="24"/>
                <w:szCs w:val="24"/>
              </w:rPr>
              <w:t>Horała</w:t>
            </w:r>
            <w:r w:rsidRPr="00EF6910">
              <w:rPr>
                <w:rFonts w:ascii="Times New Roman" w:hAnsi="Times New Roman"/>
                <w:sz w:val="24"/>
                <w:szCs w:val="24"/>
              </w:rPr>
              <w:t xml:space="preserve"> – Sekretarz Stanu w </w:t>
            </w:r>
            <w:r w:rsidR="009A46F8">
              <w:rPr>
                <w:rFonts w:ascii="Times New Roman" w:hAnsi="Times New Roman"/>
                <w:sz w:val="24"/>
                <w:szCs w:val="24"/>
              </w:rPr>
              <w:t>Ministerstwie Infrastruktury</w:t>
            </w:r>
          </w:p>
          <w:p w:rsidR="000F2CF0" w:rsidRDefault="00EF6910">
            <w:pPr>
              <w:spacing w:before="120"/>
              <w:ind w:hanging="4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Kontakt do opiekuna merytorycznego projektu</w:t>
            </w:r>
          </w:p>
          <w:p w:rsidR="004F5FD8" w:rsidRPr="00734238" w:rsidRDefault="00757E84" w:rsidP="002811BF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>Marcin Morawski – specjalista w Departamencie Lotnictwa M</w:t>
            </w:r>
            <w:r w:rsidR="00406018"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inisterstwa </w:t>
            </w:r>
            <w:r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06018"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nfrastruktury </w:t>
            </w:r>
            <w:r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478F" w:rsidRPr="00734238">
              <w:rPr>
                <w:rFonts w:ascii="Times New Roman" w:hAnsi="Times New Roman"/>
                <w:color w:val="000000"/>
                <w:sz w:val="24"/>
                <w:szCs w:val="24"/>
              </w:rPr>
              <w:t>(tel. 22 630 13 22, e-mail: Marcin.Morawski@mi.gov.pl)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</w:p>
          <w:p w:rsidR="000F2CF0" w:rsidRDefault="007342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80799">
              <w:rPr>
                <w:rFonts w:ascii="Times New Roman" w:hAnsi="Times New Roman"/>
                <w:sz w:val="24"/>
                <w:szCs w:val="24"/>
              </w:rPr>
              <w:t>.</w:t>
            </w:r>
            <w:r w:rsidR="004666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80799">
              <w:rPr>
                <w:rFonts w:ascii="Times New Roman" w:hAnsi="Times New Roman"/>
                <w:sz w:val="24"/>
                <w:szCs w:val="24"/>
              </w:rPr>
              <w:t>.</w:t>
            </w:r>
            <w:r w:rsidR="00EF6910" w:rsidRPr="00EF6910">
              <w:rPr>
                <w:rFonts w:ascii="Times New Roman" w:hAnsi="Times New Roman"/>
                <w:sz w:val="24"/>
                <w:szCs w:val="24"/>
              </w:rPr>
              <w:t>20</w:t>
            </w:r>
            <w:r w:rsidR="00D6143A">
              <w:rPr>
                <w:rFonts w:ascii="Times New Roman" w:hAnsi="Times New Roman"/>
                <w:sz w:val="24"/>
                <w:szCs w:val="24"/>
              </w:rPr>
              <w:t>20</w:t>
            </w:r>
            <w:r w:rsidR="00EF6910" w:rsidRPr="00EF6910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2CF0" w:rsidRDefault="00EF69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z w:val="24"/>
                <w:szCs w:val="24"/>
              </w:rPr>
              <w:t xml:space="preserve">Źródło: </w:t>
            </w:r>
            <w:bookmarkStart w:id="2" w:name="Lista1"/>
          </w:p>
          <w:bookmarkEnd w:id="2"/>
          <w:p w:rsidR="000F2CF0" w:rsidRDefault="00EF69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z w:val="24"/>
                <w:szCs w:val="24"/>
              </w:rPr>
              <w:t xml:space="preserve">Art. 71e ustawy z dnia 3 lipca 2002 r. – Prawo lotnicze (Dz. U. z </w:t>
            </w:r>
            <w:r w:rsidR="00D6143A" w:rsidRPr="00D6143A">
              <w:rPr>
                <w:rFonts w:ascii="Times New Roman" w:hAnsi="Times New Roman"/>
                <w:sz w:val="24"/>
                <w:szCs w:val="24"/>
              </w:rPr>
              <w:t>2019 r. poz. 1580</w:t>
            </w:r>
            <w:r w:rsidR="00734238">
              <w:rPr>
                <w:rFonts w:ascii="Times New Roman" w:hAnsi="Times New Roman"/>
                <w:sz w:val="24"/>
                <w:szCs w:val="24"/>
              </w:rPr>
              <w:t xml:space="preserve">, z </w:t>
            </w:r>
            <w:proofErr w:type="spellStart"/>
            <w:r w:rsidR="00734238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="00734238">
              <w:rPr>
                <w:rFonts w:ascii="Times New Roman" w:hAnsi="Times New Roman"/>
                <w:sz w:val="24"/>
                <w:szCs w:val="24"/>
              </w:rPr>
              <w:t>. zm.</w:t>
            </w:r>
            <w:r w:rsidRPr="00EF69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2B4" w:rsidRDefault="00EF6910" w:rsidP="004666A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Nr w wykazie prac legislacyjnych </w:t>
            </w:r>
            <w:r w:rsidR="0096175E" w:rsidRPr="00757E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</w:t>
            </w:r>
            <w:r w:rsidR="00E80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inistra </w:t>
            </w:r>
            <w:r w:rsidR="0096175E" w:rsidRPr="00757E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="00E80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nfrastruktury</w:t>
            </w:r>
            <w:r w:rsidR="00757E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2811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80799" w:rsidRPr="00E80799" w:rsidRDefault="00BA42B4" w:rsidP="004666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6A701A" w:rsidRPr="0022687A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ind w:left="57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6A701A" w:rsidRPr="008B4FE6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z w:val="24"/>
                <w:szCs w:val="24"/>
              </w:rPr>
              <w:t>Jaki problem jest rozwiązywany?</w:t>
            </w:r>
            <w:bookmarkStart w:id="3" w:name="Wybór1"/>
            <w:bookmarkEnd w:id="3"/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0F2CF0" w:rsidRDefault="00481E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Wydanie r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ozporządzeni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jest konieczne ze względu na nowelizację ustawy z dnia 3 lipca 2002 r. – Prawo lotnicze w zakresie art. 71a</w:t>
            </w:r>
            <w:r w:rsidR="00406018" w:rsidRPr="0040601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71e,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które</w:t>
            </w:r>
            <w:r w:rsidR="00A55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było efektem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wejści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życie 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>rozporządzenia Parlamentu Europejskiego i Rady (UE) nr 598/2014 z dnia 16 kwietnia 2014 r. w sprawie ustanowienia zasad i procedur w odniesieniu do wprowadzenia ograniczeń operacyjnych odnoszących się do poziomu hałasu w portach lotniczych Unii w ramach zrównoważonego podejścia oraz uchylającego dyrektywę 2002/30/WE (Dz. Urz. UE L 173 z 12.06.2014, str. 65)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zwanego dalej „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rozporządzeni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4" w:name="_Hlk39589060"/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nr 598/2014/UE</w:t>
            </w:r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81ED3" w:rsidRPr="00481ED3" w:rsidRDefault="00481ED3" w:rsidP="00481E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projekcie 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>rozporządzen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>ia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uregulowane 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są 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kwestie związane z wprowadzaniem ograniczeń operacyjnych, o których mowa w art. 2 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>pkt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>
              <w:t xml:space="preserve"> 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>rozporządzeni</w:t>
            </w:r>
            <w:r w:rsidR="00757E8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481E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 598/2014/UE, w tym:</w:t>
            </w:r>
          </w:p>
          <w:p w:rsidR="00481ED3" w:rsidRPr="000C2A91" w:rsidRDefault="00481ED3" w:rsidP="000C2A91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A91">
              <w:rPr>
                <w:rFonts w:ascii="Times New Roman" w:hAnsi="Times New Roman"/>
                <w:color w:val="000000"/>
                <w:sz w:val="24"/>
                <w:szCs w:val="24"/>
              </w:rPr>
              <w:t>zakres informacji wymaganych do przeprowadzenia konsultacji w celu wprowadzenia ograniczeń operacyjnych;</w:t>
            </w:r>
          </w:p>
          <w:p w:rsidR="00481ED3" w:rsidRPr="000C2A91" w:rsidRDefault="00757E84" w:rsidP="000C2A91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A9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481ED3" w:rsidRPr="000C2A91">
              <w:rPr>
                <w:rFonts w:ascii="Times New Roman" w:hAnsi="Times New Roman"/>
                <w:color w:val="000000"/>
                <w:sz w:val="24"/>
                <w:szCs w:val="24"/>
              </w:rPr>
              <w:t>ryb i sposób prowadzenia konsultacji;</w:t>
            </w:r>
          </w:p>
          <w:p w:rsidR="00481ED3" w:rsidRPr="000C2A91" w:rsidRDefault="00481ED3" w:rsidP="000C2A91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A91">
              <w:rPr>
                <w:rFonts w:ascii="Times New Roman" w:hAnsi="Times New Roman"/>
                <w:color w:val="000000"/>
                <w:sz w:val="24"/>
                <w:szCs w:val="24"/>
              </w:rPr>
              <w:t>katalog podmiotów uprawnionych do uczestnictwa w konsultacjach;</w:t>
            </w:r>
          </w:p>
          <w:p w:rsidR="000F2CF0" w:rsidRPr="000C2A91" w:rsidRDefault="00481ED3" w:rsidP="000C2A91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A91">
              <w:rPr>
                <w:rFonts w:ascii="Times New Roman" w:hAnsi="Times New Roman"/>
                <w:color w:val="000000"/>
                <w:sz w:val="24"/>
                <w:szCs w:val="24"/>
              </w:rPr>
              <w:t>szczegółowy sposób oraz terminy przekazywania zarządzającemu portem lotniczym informacji wymaganych do przeprowadzenia konsultacji.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Rekomendowane rozwiązanie, w tym planowane narzędzia interwencji, i oczekiwany efekt</w:t>
            </w:r>
          </w:p>
        </w:tc>
      </w:tr>
      <w:tr w:rsidR="006A701A" w:rsidRPr="008B4FE6" w:rsidTr="00F94974">
        <w:trPr>
          <w:gridAfter w:val="1"/>
          <w:wAfter w:w="10" w:type="dxa"/>
          <w:trHeight w:val="2687"/>
        </w:trPr>
        <w:tc>
          <w:tcPr>
            <w:tcW w:w="10937" w:type="dxa"/>
            <w:gridSpan w:val="29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związku z koniecznością dostosowania </w:t>
            </w:r>
            <w:r w:rsidR="00B51D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prawa krajowego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do przepisów UE </w:t>
            </w:r>
            <w:r w:rsidR="00B51D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konieczne jest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wydan</w:t>
            </w:r>
            <w:r w:rsidR="00B51D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 rozporządzeni</w:t>
            </w:r>
            <w:r w:rsidR="00B51D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A168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dotyczącego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konsultacji w celu wprowadzenia ograniczeń operacyjnych, </w:t>
            </w:r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a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szczególności </w:t>
            </w:r>
            <w:r w:rsidR="002B07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określenie </w:t>
            </w:r>
            <w:r w:rsidR="002B079D" w:rsidRPr="00EA3E11">
              <w:rPr>
                <w:rFonts w:ascii="Times" w:hAnsi="Times"/>
                <w:bCs/>
              </w:rPr>
              <w:t>szczegółow</w:t>
            </w:r>
            <w:r w:rsidR="002B079D">
              <w:rPr>
                <w:rFonts w:ascii="Times" w:hAnsi="Times"/>
                <w:bCs/>
              </w:rPr>
              <w:t>ego sposobu</w:t>
            </w:r>
            <w:r w:rsidR="002B079D" w:rsidRPr="00EA3E11">
              <w:rPr>
                <w:rFonts w:ascii="Times" w:hAnsi="Times"/>
                <w:bCs/>
              </w:rPr>
              <w:t xml:space="preserve"> prowadzenia konsultacji, w tym </w:t>
            </w:r>
            <w:r w:rsidR="002B079D">
              <w:rPr>
                <w:rFonts w:ascii="Times" w:hAnsi="Times"/>
                <w:bCs/>
              </w:rPr>
              <w:t>kręgu</w:t>
            </w:r>
            <w:r w:rsidR="002B079D" w:rsidRPr="00EA3E11">
              <w:rPr>
                <w:rFonts w:ascii="Times" w:hAnsi="Times"/>
                <w:bCs/>
              </w:rPr>
              <w:t xml:space="preserve"> uczestników, sposob</w:t>
            </w:r>
            <w:r w:rsidR="002B079D">
              <w:rPr>
                <w:rFonts w:ascii="Times" w:hAnsi="Times"/>
                <w:bCs/>
              </w:rPr>
              <w:t>u</w:t>
            </w:r>
            <w:r w:rsidR="002B079D" w:rsidRPr="00EA3E11">
              <w:rPr>
                <w:rFonts w:ascii="Times" w:hAnsi="Times"/>
                <w:bCs/>
              </w:rPr>
              <w:t xml:space="preserve"> wymiany</w:t>
            </w:r>
            <w:r w:rsidR="002B079D">
              <w:rPr>
                <w:rFonts w:ascii="Times" w:hAnsi="Times"/>
                <w:bCs/>
              </w:rPr>
              <w:t xml:space="preserve"> informacji między uczestnikami, ram</w:t>
            </w:r>
            <w:r w:rsidR="002B079D" w:rsidRPr="00EA3E11">
              <w:rPr>
                <w:rFonts w:ascii="Times" w:hAnsi="Times"/>
                <w:bCs/>
              </w:rPr>
              <w:t xml:space="preserve"> czasow</w:t>
            </w:r>
            <w:r w:rsidR="002B079D">
              <w:rPr>
                <w:rFonts w:ascii="Times" w:hAnsi="Times"/>
                <w:bCs/>
              </w:rPr>
              <w:t>ych</w:t>
            </w:r>
            <w:r w:rsidR="002B079D" w:rsidRPr="00EA3E11">
              <w:rPr>
                <w:rFonts w:ascii="Times" w:hAnsi="Times"/>
                <w:bCs/>
              </w:rPr>
              <w:t xml:space="preserve"> dla całego procesu</w:t>
            </w:r>
            <w:r w:rsidR="002B079D">
              <w:rPr>
                <w:rFonts w:ascii="Times" w:hAnsi="Times"/>
                <w:bCs/>
              </w:rPr>
              <w:t xml:space="preserve">, </w:t>
            </w:r>
            <w:r w:rsidR="002B079D" w:rsidRPr="00EA3E11">
              <w:rPr>
                <w:rFonts w:ascii="Times" w:hAnsi="Times"/>
                <w:bCs/>
              </w:rPr>
              <w:t>zakres</w:t>
            </w:r>
            <w:r w:rsidR="002B079D">
              <w:rPr>
                <w:rFonts w:ascii="Times" w:hAnsi="Times"/>
                <w:bCs/>
              </w:rPr>
              <w:t>u</w:t>
            </w:r>
            <w:r w:rsidR="002B079D" w:rsidRPr="00EA3E11">
              <w:rPr>
                <w:rFonts w:ascii="Times" w:hAnsi="Times"/>
                <w:bCs/>
              </w:rPr>
              <w:t xml:space="preserve"> informacji wymaganych do przeprowadzenia konsultacji </w:t>
            </w:r>
            <w:r w:rsidR="002B079D">
              <w:rPr>
                <w:rFonts w:ascii="Times" w:hAnsi="Times"/>
                <w:bCs/>
              </w:rPr>
              <w:t>oraz sposobu</w:t>
            </w:r>
            <w:r w:rsidR="002B079D" w:rsidRPr="00EA3E11">
              <w:rPr>
                <w:rFonts w:ascii="Times" w:hAnsi="Times"/>
                <w:bCs/>
              </w:rPr>
              <w:t xml:space="preserve"> i termin</w:t>
            </w:r>
            <w:r w:rsidR="002B079D">
              <w:rPr>
                <w:rFonts w:ascii="Times" w:hAnsi="Times"/>
                <w:bCs/>
              </w:rPr>
              <w:t>ów</w:t>
            </w:r>
            <w:r w:rsidR="002B079D" w:rsidRPr="00EA3E11">
              <w:rPr>
                <w:rFonts w:ascii="Times" w:hAnsi="Times"/>
                <w:bCs/>
              </w:rPr>
              <w:t xml:space="preserve"> przekazywania informacji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Określenie zainteresowanych stron</w:t>
            </w:r>
            <w:r w:rsidR="00A168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a także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terminów oraz sposobu prowadzenia </w:t>
            </w:r>
            <w:r w:rsidR="00A168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konsultacji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zapewni większą przejrzystość oraz pewność co do uwzględnienia interesów różnych podmiotów. </w:t>
            </w:r>
          </w:p>
          <w:p w:rsidR="000F2CF0" w:rsidRDefault="00EF6910" w:rsidP="000C2A91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Określenie instytucji współpracujących w przypadku planowanego wdrożenia ograniczeń operacyjnych</w:t>
            </w:r>
            <w:r w:rsidR="005C597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sposobu procedowania umożliwi zarządzającemu lotniskiem dostęp do niezbędnych informacji w wymaganym terminie.</w:t>
            </w:r>
          </w:p>
        </w:tc>
      </w:tr>
      <w:tr w:rsidR="006A701A" w:rsidRPr="008B4FE6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Jak problem został rozwiązany w innych krajach, w szczególności krajach członkowskich OECD/UE</w:t>
            </w: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Pr="00EF691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01A" w:rsidRPr="008B4FE6" w:rsidTr="00FC54C0">
        <w:trPr>
          <w:gridAfter w:val="1"/>
          <w:wAfter w:w="10" w:type="dxa"/>
          <w:trHeight w:val="778"/>
        </w:trPr>
        <w:tc>
          <w:tcPr>
            <w:tcW w:w="10937" w:type="dxa"/>
            <w:gridSpan w:val="29"/>
            <w:shd w:val="clear" w:color="auto" w:fill="auto"/>
          </w:tcPr>
          <w:p w:rsidR="0093481E" w:rsidRPr="00781526" w:rsidRDefault="0093481E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 Wielkiej Brytanii, kwestie zarządzania hałasem są rozdzielone wśród instytucji różnego szczebla zarówno administracji samorządowej, jak i rządowej.</w:t>
            </w:r>
            <w:r w:rsidR="00B7522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Wynika</w:t>
            </w:r>
            <w:proofErr w:type="spellEnd"/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z </w:t>
            </w:r>
            <w:proofErr w:type="spellStart"/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przepisów</w:t>
            </w:r>
            <w:proofErr w:type="spellEnd"/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2018 No 785 Civil Aviation, Engl</w:t>
            </w:r>
            <w:r w:rsidR="009910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nd and Wales The Airports (Noise-related </w:t>
            </w:r>
            <w:r w:rsidR="009910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Operating</w:t>
            </w:r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Restrictions) z 27</w:t>
            </w:r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czerwca</w:t>
            </w:r>
            <w:proofErr w:type="spellEnd"/>
            <w:r w:rsidR="00B75221" w:rsidRPr="00B00F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2018.</w:t>
            </w:r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B7522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Zgodnie z tym</w:t>
            </w:r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aktem</w:t>
            </w:r>
            <w:r w:rsidR="00B7522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w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łaściwym organem dla celów rozporządzenia nr 598/2014/UE w odniesieniu do propozycji nałożenia, zmiany lub zniesienia ograniczeń operacyjnych</w:t>
            </w:r>
            <w:r w:rsidR="00185E0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jest właściwy organ ds. planowania miejscowego (z wyjątkiem okoliczności, gdy powyższe kwestie są rozpatrywane na podstawie wniosku lub odwołania skierowanego do Sekretarza 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Stanu/Ministra właściwego ds. transportu lotniczego lub walijskich ministrów).</w:t>
            </w:r>
          </w:p>
          <w:p w:rsidR="0093481E" w:rsidRDefault="0093481E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Za monitorowanie i kontrolę wdrażania ograniczeń operacyjnych odpowiedzialny jest - w zależności od przypadku - właściwy organ ds. planowania miejscowego lub Sekretarz Stanu</w:t>
            </w:r>
            <w:r w:rsidR="00D273E2"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850045" w:rsidRDefault="0093481E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Operator</w:t>
            </w:r>
            <w:r w:rsidR="00B7522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portu lotniczego musi przekazać właściwemu organowi informacje dotyczące zarządzanego portu lotniczego w celu umożliwienia organowi pełnienia funkcji przewidzianej w rozporządzeniu nr 598/2014/UE</w:t>
            </w:r>
            <w:r w:rsidR="00D273E2"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 w:rsidR="000C2A9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odniesieniu do brytyjskich regulacji nie zostały opracowane oceny skutków z uwagi na brak znaczącego wpływu na biznes, organizacje charytatywne,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wolontariackie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czy sektor publiczny.</w:t>
            </w:r>
          </w:p>
          <w:p w:rsidR="00B75221" w:rsidRDefault="00B75221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B75221" w:rsidRDefault="00B75221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Niemczech, ze względu na federalną strukturę państwa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sprawy </w:t>
            </w: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planowani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 monitorowani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a działalności </w:t>
            </w: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portów lotniczych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należą do kompetencji organów władz publicznych </w:t>
            </w: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kraj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ów</w:t>
            </w:r>
            <w:r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związkowych. Decyzje władz publicznych dotyczące ograniczeń operacyjnych związanych z hałasem mogą zostać poddane rewizji w drodze odwołania się do sądów administracyjnych. Zaangażowane strony są uprawnione do wniesienia skargi bezpośrednio do właściwego sądu administracyjnego.</w:t>
            </w:r>
          </w:p>
          <w:p w:rsidR="00B75221" w:rsidRDefault="00B75221" w:rsidP="0093481E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0F2CF0" w:rsidRDefault="000C2A91" w:rsidP="000C2A91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 w:rsidR="001D05A5" w:rsidRPr="0078152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Szwajcarii przyjęto dwie drogi wprowadzenia ograniczeń operacyjnych - ogólnie dla wszystkich portów lotniczych na podstawie przepisów państwowych (rozporządzenie w sprawie infrastruktury lotniczej) lub na podstawie indywidualnego zezwolenia na obsługę portu lotniczego. Oba sposoby podlegają odpowiednim procedurom uczestnictwa lub sprzeciwu wobec prawa publicznego. Przeprowadzane są konsultacje publiczne, a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ponadto 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zainteresowane strony mają możliwość poddania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ich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referendum obywatelskiemu.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Ponieważ od dawna obowiązują ograniczenia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wykonywania lotów w porze noc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nej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a ponadto operacje wykonywane są przez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nowoczesn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ą flotę „cichych” 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samolot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ów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obecnie </w:t>
            </w:r>
            <w:r w:rsidR="001D05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nie stwierdzono </w:t>
            </w:r>
            <w:r w:rsidR="00850045" w:rsidRPr="00850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potrzeby podejmowania takich działań.</w:t>
            </w:r>
          </w:p>
        </w:tc>
      </w:tr>
      <w:tr w:rsidR="006A701A" w:rsidRPr="008B4FE6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Podmioty, na które oddziałuje projekt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0F2CF0" w:rsidRDefault="00EF6910">
            <w:pPr>
              <w:spacing w:before="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0F2CF0" w:rsidRDefault="00EF6910">
            <w:pPr>
              <w:spacing w:before="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0F2CF0" w:rsidRDefault="00EF6910">
            <w:pPr>
              <w:spacing w:before="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Źródło danych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F2CF0" w:rsidRDefault="00EF6910">
            <w:pPr>
              <w:spacing w:before="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Oddziaływanie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Prezes Urzędu Lotnictwa Cywilnego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 podmiot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0F2CF0" w:rsidRDefault="009B3D09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Ustawa z dnia 3 lipca 2002 r. – Prawo lotnicze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F2CF0" w:rsidRDefault="00EF6910" w:rsidP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Zwiększenie ilości zadań Prezesa Urzędu 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Podmioty wykonujące operacje lotnicze w zakresie AOC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0F2CF0" w:rsidRDefault="00B0722B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Potencjalnie </w:t>
            </w:r>
            <w:r w:rsidR="00747E1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</w:t>
            </w:r>
            <w:r w:rsidR="00747E13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podmiotów polskich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a ponadto operatorzy obcy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Dane własne organu (ULC)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„Wykaz Posiadaczy Certyfikatu Przewoźnika Lotniczego (AOC)” stan na dzień 26.02.2020 r.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Ograniczenia będą dotyczyły przewoźników 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lotniczych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posiadających </w:t>
            </w:r>
            <w:r w:rsidR="009910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ertyfikaty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AOC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użytkujących dany port lotniczy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któr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zy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w procesie konsultacji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 oceny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będą musi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eli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przedłożyć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plany rozwoju</w:t>
            </w:r>
            <w:r w:rsidR="00B831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rozkładów lotów i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siatki połączeń w porcie lotniczym. 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0F2CF0" w:rsidRDefault="00EF6910" w:rsidP="009B3D09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Zarządzający 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portami lotniczymi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0F2CF0" w:rsidRDefault="00EF6910" w:rsidP="00AD1C5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Aktualnie 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podmiot</w:t>
            </w:r>
            <w:r w:rsidR="00857A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y (spełniające kryterium ilościowe </w:t>
            </w:r>
            <w:r w:rsidR="00AD5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wynikające z art. 2 pkt 2)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w perspektywie kilku najbliższych lat</w:t>
            </w:r>
            <w:r w:rsidR="00B072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dodatkowe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podmioty.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0F2CF0" w:rsidRDefault="00EF6910" w:rsidP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przypadku wprowadzenia ograniczeń, 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zarządzający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port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ami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lotnicz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ymi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będą dostosowywać procedury operacyjne</w:t>
            </w:r>
            <w:r w:rsidR="00B831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a także nie będą mog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li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przyjąć statków powietrznych</w:t>
            </w:r>
            <w:r w:rsidR="00B8318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których parametry eksploatacyjne lub plany wykonywania operacji będą przekraczały kryteria wynikające z wprowadzonych ograniczeń operacyjnych.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8C5B0D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Organy Inspekcji Ochrony Środowiska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0F2CF0" w:rsidRDefault="00EF6910" w:rsidP="00AD1C5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Aktualnie </w:t>
            </w:r>
            <w:r w:rsidR="00B072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podmiot</w:t>
            </w:r>
            <w:r w:rsidR="00B072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y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w perspektywie kilku najbliższych lat 2</w:t>
            </w:r>
            <w:r w:rsidR="00B072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kolejne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podmioty.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Dane własne organu (ULC)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Przekazywanie informacji określonych w rozporządzeniu w celu dokonania obliczeń korzyści wprowadzenia ograniczeń  operacyjnych</w:t>
            </w:r>
          </w:p>
        </w:tc>
      </w:tr>
      <w:tr w:rsidR="006A701A" w:rsidRPr="008B4FE6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6A701A" w:rsidRPr="00D5207E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Konsultacje publiczne zostaną przeprowadzone zgodnie z trybem przewidzianym w Regulaminie pracy Rady Ministrów. </w:t>
            </w:r>
            <w:r w:rsidR="002B07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Projekt 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2B07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zostanie zamieszczony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zgodnie z art. 5 ustawy z dnia 7 lipca  2005 r. o działalności lobbingowej w procesie stanowienia prawa (Dz. U. z 2017 r. poz. 248), w Biuletynie Informacji Publicznej, na stronie podmiotowej Rządowego Centrum Legislacji, w serwisie Rządowy Proces Legislacyjny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="00481ED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oraz na stronie</w:t>
            </w:r>
            <w:r w:rsidR="00A5563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81ED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Urzędu Lotnictwa Cywilnego.</w:t>
            </w: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Informacja o udostępnieniu projektu zostanie przekazana do następujących podmiotów: </w:t>
            </w:r>
          </w:p>
          <w:p w:rsidR="000F2CF0" w:rsidRPr="00781526" w:rsidRDefault="00EF6910" w:rsidP="000F2CF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eastAsiaTheme="majorEastAsia" w:hAnsi="Times New Roman" w:cstheme="majorBidi"/>
                <w:bCs/>
                <w:color w:val="000000"/>
                <w:spacing w:val="-2"/>
              </w:rPr>
            </w:pPr>
            <w:r w:rsidRPr="00694876">
              <w:rPr>
                <w:rFonts w:ascii="Times New Roman" w:hAnsi="Times New Roman"/>
                <w:color w:val="000000"/>
                <w:spacing w:val="-2"/>
              </w:rPr>
              <w:t>Polskie Linie Lotnicze "LOT" S.A. ul. Komitetu Obrony Robotników 43 02-146 Warszawa;</w:t>
            </w:r>
          </w:p>
          <w:p w:rsidR="000F2CF0" w:rsidRPr="00781526" w:rsidRDefault="00EF6910" w:rsidP="000F2CF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eastAsiaTheme="majorEastAsia" w:hAnsi="Times New Roman" w:cstheme="majorBidi"/>
                <w:bCs/>
                <w:color w:val="000000"/>
                <w:spacing w:val="-2"/>
              </w:rPr>
            </w:pPr>
            <w:r w:rsidRPr="00694876">
              <w:rPr>
                <w:rFonts w:ascii="Times New Roman" w:hAnsi="Times New Roman"/>
                <w:color w:val="000000"/>
                <w:spacing w:val="-2"/>
              </w:rPr>
              <w:t>Enter Air Sp. z o.o. ul. Komitetu Obrony Robotników 74 02-146 Warszawa;</w:t>
            </w:r>
          </w:p>
          <w:p w:rsidR="000F2CF0" w:rsidRPr="00781526" w:rsidRDefault="00EF6910" w:rsidP="000F2CF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eastAsiaTheme="majorEastAsia" w:hAnsi="Times New Roman" w:cstheme="majorBidi"/>
                <w:bCs/>
                <w:color w:val="000000"/>
                <w:spacing w:val="-2"/>
              </w:rPr>
            </w:pPr>
            <w:proofErr w:type="spellStart"/>
            <w:r w:rsidRPr="00694876">
              <w:rPr>
                <w:rFonts w:ascii="Times New Roman" w:hAnsi="Times New Roman"/>
                <w:color w:val="000000"/>
                <w:spacing w:val="-2"/>
              </w:rPr>
              <w:t>SprintAir</w:t>
            </w:r>
            <w:proofErr w:type="spellEnd"/>
            <w:r w:rsidRPr="00694876">
              <w:rPr>
                <w:rFonts w:ascii="Times New Roman" w:hAnsi="Times New Roman"/>
                <w:color w:val="000000"/>
                <w:spacing w:val="-2"/>
              </w:rPr>
              <w:t xml:space="preserve"> S.A. ul. Ruchliwa 22 02-182 Warszawa;</w:t>
            </w:r>
          </w:p>
          <w:p w:rsidR="000F2CF0" w:rsidRDefault="00EF6910" w:rsidP="000F2CF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eastAsiaTheme="majorEastAsia" w:hAnsi="Times New Roman" w:cstheme="majorBidi"/>
                <w:b/>
                <w:bCs/>
                <w:color w:val="000000"/>
                <w:spacing w:val="-2"/>
              </w:rPr>
            </w:pPr>
            <w:r w:rsidRPr="00694876">
              <w:rPr>
                <w:rFonts w:ascii="Times New Roman" w:hAnsi="Times New Roman"/>
                <w:color w:val="000000"/>
                <w:spacing w:val="-2"/>
                <w:lang w:val="en-US"/>
              </w:rPr>
              <w:t>Smal</w:t>
            </w:r>
            <w:r w:rsidR="000F2CF0" w:rsidRPr="00694876">
              <w:rPr>
                <w:rFonts w:ascii="Times New Roman" w:hAnsi="Times New Roman"/>
                <w:color w:val="000000"/>
                <w:spacing w:val="-2"/>
                <w:lang w:val="en-US"/>
              </w:rPr>
              <w:t>l</w:t>
            </w:r>
            <w:r w:rsidRPr="00A5563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Planet Airlines Sp. z </w:t>
            </w:r>
            <w:proofErr w:type="spellStart"/>
            <w:r w:rsidRPr="00A55634">
              <w:rPr>
                <w:rFonts w:ascii="Times New Roman" w:hAnsi="Times New Roman"/>
                <w:color w:val="000000"/>
                <w:spacing w:val="-2"/>
                <w:lang w:val="en-US"/>
              </w:rPr>
              <w:t>o.o</w:t>
            </w:r>
            <w:proofErr w:type="spellEnd"/>
            <w:r w:rsidRPr="00A5563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 </w:t>
            </w:r>
            <w:proofErr w:type="spellStart"/>
            <w:r w:rsidRPr="00A55634">
              <w:rPr>
                <w:rFonts w:ascii="Times New Roman" w:hAnsi="Times New Roman"/>
                <w:color w:val="000000"/>
                <w:spacing w:val="-2"/>
                <w:lang w:val="en-US"/>
              </w:rPr>
              <w:t>ul</w:t>
            </w:r>
            <w:proofErr w:type="spellEnd"/>
            <w:r w:rsidRPr="00A5563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 </w:t>
            </w:r>
            <w:r w:rsidRPr="00EF6910">
              <w:rPr>
                <w:rFonts w:ascii="Times New Roman" w:hAnsi="Times New Roman"/>
                <w:color w:val="000000"/>
                <w:spacing w:val="-2"/>
              </w:rPr>
              <w:t>Krakowiaków 48 02-255 Warszawa;</w:t>
            </w:r>
          </w:p>
          <w:p w:rsidR="000F2CF0" w:rsidRDefault="00EF6910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EF6910">
              <w:rPr>
                <w:rFonts w:ascii="Times New Roman" w:hAnsi="Times New Roman"/>
                <w:color w:val="000000"/>
                <w:spacing w:val="-2"/>
              </w:rPr>
              <w:t>SprintAir</w:t>
            </w:r>
            <w:proofErr w:type="spellEnd"/>
            <w:r w:rsidRPr="00EF6910">
              <w:rPr>
                <w:rFonts w:ascii="Times New Roman" w:hAnsi="Times New Roman"/>
                <w:color w:val="000000"/>
                <w:spacing w:val="-2"/>
              </w:rPr>
              <w:t xml:space="preserve"> Cargo Sp. z o.o. ul. Ruchliwa 22 02-182 Warszawa;</w:t>
            </w:r>
          </w:p>
          <w:p w:rsidR="000F2CF0" w:rsidRDefault="00EF6910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</w:rPr>
              <w:t>Jet Story Sp. z o.o. ul. Komitetu Obrony Robotników 47 02-146 Warszawa;</w:t>
            </w:r>
          </w:p>
          <w:p w:rsidR="000F2CF0" w:rsidRDefault="00EF6910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</w:rPr>
              <w:t>Ryanair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</w:rPr>
              <w:t xml:space="preserve"> Sun S.A. ul. </w:t>
            </w:r>
            <w:r w:rsidR="0063550B" w:rsidRPr="0063550B">
              <w:rPr>
                <w:rFonts w:ascii="Times New Roman" w:hAnsi="Times New Roman"/>
                <w:color w:val="000000"/>
                <w:spacing w:val="-2"/>
              </w:rPr>
              <w:t>ul. Etiudy Rewolucyjnej 40/34 02-643</w:t>
            </w:r>
            <w:r w:rsidR="0063550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F6910">
              <w:rPr>
                <w:rFonts w:ascii="Times New Roman" w:hAnsi="Times New Roman"/>
                <w:color w:val="000000"/>
                <w:spacing w:val="-2"/>
              </w:rPr>
              <w:t>Warszawa;</w:t>
            </w:r>
          </w:p>
          <w:p w:rsidR="000F2CF0" w:rsidRDefault="00EF6910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</w:rPr>
              <w:t>Przedsiębiorstwo Państwowe „Porty Lotnicze” ul. Żwirki i Wigury 1, 00-906 Warszawa;</w:t>
            </w:r>
          </w:p>
          <w:p w:rsidR="000F2CF0" w:rsidRDefault="00EF6910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</w:rPr>
              <w:t xml:space="preserve">Międzynarodowy Port Lotniczy im. Jaka Pawła II Kraków - Balice Sp. z.o.o, ul. kpt. Mieczysława </w:t>
            </w:r>
            <w:proofErr w:type="spellStart"/>
            <w:r w:rsidRPr="00EF6910">
              <w:rPr>
                <w:rFonts w:ascii="Times New Roman" w:hAnsi="Times New Roman"/>
                <w:color w:val="000000"/>
                <w:spacing w:val="-2"/>
              </w:rPr>
              <w:t>Medweckiego</w:t>
            </w:r>
            <w:proofErr w:type="spellEnd"/>
            <w:r w:rsidRPr="00EF6910">
              <w:rPr>
                <w:rFonts w:ascii="Times New Roman" w:hAnsi="Times New Roman"/>
                <w:color w:val="000000"/>
                <w:spacing w:val="-2"/>
              </w:rPr>
              <w:t xml:space="preserve"> 1 32-083 Balice;</w:t>
            </w:r>
          </w:p>
          <w:p w:rsidR="00EF18DC" w:rsidRPr="00781526" w:rsidRDefault="00EF6910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</w:rPr>
              <w:t>Polska Agencja Żeglugi Powietrznej ul. Wieżowa 8 02-147 Warszawa;</w:t>
            </w:r>
          </w:p>
          <w:p w:rsidR="00EF18DC" w:rsidRPr="00AD1C50" w:rsidRDefault="00EF18DC" w:rsidP="00AD1C5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D1C50">
              <w:rPr>
                <w:rFonts w:ascii="Times New Roman" w:hAnsi="Times New Roman"/>
                <w:color w:val="000000"/>
                <w:spacing w:val="-2"/>
              </w:rPr>
              <w:t xml:space="preserve">Blue Jet ul. Komitetu Obrony Robotników 47 02-146 Warszawa; </w:t>
            </w:r>
          </w:p>
          <w:p w:rsidR="00EF18DC" w:rsidRPr="00EF18DC" w:rsidRDefault="00EF18DC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18DC">
              <w:rPr>
                <w:rFonts w:ascii="Times New Roman" w:hAnsi="Times New Roman"/>
                <w:color w:val="000000"/>
                <w:spacing w:val="-2"/>
              </w:rPr>
              <w:t>EADS PZL „Warszawa-Okęcie” S.A. Al. Krakowska 110/114, 00-971 Warszawa;</w:t>
            </w:r>
          </w:p>
          <w:p w:rsidR="00EF18DC" w:rsidRPr="00EF18DC" w:rsidRDefault="00EF18DC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F18DC">
              <w:rPr>
                <w:rFonts w:ascii="Times New Roman" w:hAnsi="Times New Roman"/>
                <w:color w:val="000000"/>
                <w:spacing w:val="-2"/>
              </w:rPr>
              <w:t>Instytut Lotnictwa Al. Krakowska 110/114 02-256 Warszawa;</w:t>
            </w:r>
          </w:p>
          <w:p w:rsidR="00EF18DC" w:rsidRPr="00EF18DC" w:rsidRDefault="00EF18DC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UPS – United Parcel Service Poland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ul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 </w:t>
            </w:r>
            <w:r w:rsidRPr="00EF18DC">
              <w:rPr>
                <w:rFonts w:ascii="Times New Roman" w:hAnsi="Times New Roman"/>
                <w:color w:val="000000"/>
                <w:spacing w:val="-2"/>
              </w:rPr>
              <w:t>Prądzyńskiego 1/3 01-222 Warszawa;</w:t>
            </w:r>
          </w:p>
          <w:p w:rsidR="00EF18DC" w:rsidRPr="00EF18DC" w:rsidRDefault="00EF18DC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EF18DC">
              <w:rPr>
                <w:rFonts w:ascii="Times New Roman" w:hAnsi="Times New Roman"/>
                <w:color w:val="000000"/>
                <w:spacing w:val="-2"/>
              </w:rPr>
              <w:t>Wizz</w:t>
            </w:r>
            <w:proofErr w:type="spellEnd"/>
            <w:r w:rsidRPr="00EF18DC">
              <w:rPr>
                <w:rFonts w:ascii="Times New Roman" w:hAnsi="Times New Roman"/>
                <w:color w:val="000000"/>
                <w:spacing w:val="-2"/>
              </w:rPr>
              <w:t xml:space="preserve"> Air ul. Wolności 90 42-625 Pyrzowice;</w:t>
            </w:r>
          </w:p>
          <w:p w:rsidR="000165FA" w:rsidRPr="00781526" w:rsidRDefault="00EF18DC" w:rsidP="00EF18DC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LOT Aircraft Maintenance Services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ul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. </w:t>
            </w:r>
            <w:r w:rsidRPr="00781526">
              <w:rPr>
                <w:rFonts w:ascii="Times New Roman" w:hAnsi="Times New Roman"/>
                <w:color w:val="000000"/>
                <w:spacing w:val="-2"/>
              </w:rPr>
              <w:t>Komitetu Obrony Robotników 45C 02-146 Warszawa</w:t>
            </w:r>
            <w:r w:rsidR="0028745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63550B" w:rsidRDefault="00694876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94876">
              <w:rPr>
                <w:rFonts w:ascii="Times New Roman" w:hAnsi="Times New Roman"/>
                <w:color w:val="000000"/>
                <w:spacing w:val="-2"/>
              </w:rPr>
              <w:t>Sieć Badawcza Łukasiewicz - Instytut Lotnictwa al. Krakowska 110/114 02-256 Warszawa</w:t>
            </w:r>
            <w:r w:rsidR="0028745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:rsidR="0063550B" w:rsidRDefault="0063550B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3550B">
              <w:rPr>
                <w:rFonts w:ascii="Times New Roman" w:hAnsi="Times New Roman"/>
                <w:color w:val="000000"/>
                <w:spacing w:val="-2"/>
              </w:rPr>
              <w:t>PZL „Warszawa-Okęcie” S.A. al. Krakowska 110/114 02-256 Warszawa;</w:t>
            </w:r>
          </w:p>
          <w:p w:rsidR="0063550B" w:rsidRDefault="0063550B" w:rsidP="00F9497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Koordynator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Rozkładów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Lotów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w PL Warszawa: ACL International – London Viewpoint240 London Road </w:t>
            </w:r>
            <w:proofErr w:type="spellStart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Staines</w:t>
            </w:r>
            <w:proofErr w:type="spellEnd"/>
            <w:r w:rsidRPr="00781526">
              <w:rPr>
                <w:rFonts w:ascii="Times New Roman" w:hAnsi="Times New Roman"/>
                <w:color w:val="000000"/>
                <w:spacing w:val="-2"/>
                <w:lang w:val="en-US"/>
              </w:rPr>
              <w:t>, TW18 4JT, United Kingdom</w:t>
            </w:r>
            <w:r w:rsidR="00185E01">
              <w:rPr>
                <w:rFonts w:ascii="Times New Roman" w:hAnsi="Times New Roman"/>
                <w:color w:val="000000"/>
                <w:spacing w:val="-2"/>
                <w:lang w:val="en-US"/>
              </w:rPr>
              <w:t>;</w:t>
            </w:r>
          </w:p>
          <w:p w:rsidR="00BA42B4" w:rsidRPr="00BA42B4" w:rsidRDefault="00D5207E" w:rsidP="00BA42B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0C2A91">
              <w:rPr>
                <w:rFonts w:ascii="Times New Roman" w:hAnsi="Times New Roman"/>
                <w:color w:val="000000"/>
                <w:spacing w:val="-2"/>
              </w:rPr>
              <w:t xml:space="preserve">Związek Regionalnych Portów Lotniczych, Al. </w:t>
            </w:r>
            <w:proofErr w:type="spellStart"/>
            <w:r w:rsidRPr="000C2A91">
              <w:rPr>
                <w:rFonts w:ascii="Times New Roman" w:hAnsi="Times New Roman"/>
                <w:color w:val="000000"/>
                <w:spacing w:val="-2"/>
                <w:lang w:val="en-US"/>
              </w:rPr>
              <w:t>Korfantego</w:t>
            </w:r>
            <w:proofErr w:type="spellEnd"/>
            <w:r w:rsidRPr="000C2A91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38, 40-161 Katowice.</w:t>
            </w:r>
            <w:r w:rsidR="0063550B" w:rsidRPr="00781526">
              <w:rPr>
                <w:lang w:val="en-US"/>
              </w:rPr>
              <w:t xml:space="preserve"> </w:t>
            </w:r>
          </w:p>
        </w:tc>
      </w:tr>
      <w:tr w:rsidR="006A701A" w:rsidRPr="008B4FE6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0F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sektor finansów publicznych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0F2CF0" w:rsidRDefault="00EF6910">
            <w:pPr>
              <w:spacing w:before="40" w:after="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0F2CF0" w:rsidRDefault="00EF6910">
            <w:pPr>
              <w:spacing w:before="40" w:after="40"/>
              <w:jc w:val="both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57668E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0F2CF0" w:rsidRDefault="000F2CF0">
            <w:pPr>
              <w:spacing w:before="40" w:after="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0F2CF0" w:rsidRDefault="00EF6910">
            <w:pPr>
              <w:spacing w:before="40" w:after="40"/>
              <w:jc w:val="both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 (0-10)</w:t>
            </w: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B00F9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BD7" w:rsidRPr="008B4FE6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0F2CF0" w:rsidRDefault="00481E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Brak wpływu</w:t>
            </w:r>
            <w:r w:rsidR="00BA4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sektor finansów publicznych.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BA42B4" w:rsidP="00BA42B4">
            <w:pPr>
              <w:tabs>
                <w:tab w:val="left" w:pos="274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Wpływ na </w:t>
            </w: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Skutki</w:t>
            </w:r>
          </w:p>
        </w:tc>
      </w:tr>
      <w:tr w:rsidR="002E6D63" w:rsidRPr="008B4FE6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 (0-10)</w:t>
            </w: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W ujęciu pieniężnym</w:t>
            </w:r>
          </w:p>
          <w:p w:rsidR="000F2CF0" w:rsidRDefault="00EF6910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(w mln zł, </w:t>
            </w:r>
          </w:p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ceny stałe z </w:t>
            </w:r>
            <w:r w:rsidR="007B3AEE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="007B3AEE" w:rsidRPr="00EF69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6910">
              <w:rPr>
                <w:rFonts w:ascii="Times New Roman" w:hAnsi="Times New Roman"/>
                <w:spacing w:val="-2"/>
                <w:sz w:val="24"/>
                <w:szCs w:val="24"/>
              </w:rPr>
              <w:t>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F2CF0" w:rsidRDefault="007B3AEE" w:rsidP="00AD1C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B0722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0F2CF0" w:rsidRDefault="007B3A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7B3A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0F2CF0" w:rsidRDefault="00411DA5" w:rsidP="00AD1C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D1C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7B3AEE" w:rsidP="00AD1C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85E0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D1C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0F2CF0" w:rsidRDefault="007B3AEE" w:rsidP="00AD1C5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D1C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072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C9544B" w:rsidRPr="00C9544B" w:rsidRDefault="00C9544B" w:rsidP="00C9544B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Przewidywany znikomy wpływ na duże przedsiębiorstwa, ograniczający się za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sa</w:t>
            </w: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dniczo do 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zarządzających</w:t>
            </w: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portami lotniczymi </w:t>
            </w: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objęty</w:t>
            </w:r>
            <w:r w:rsidR="009B3D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mi</w:t>
            </w: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niniejszym rozporządzeniem oraz operatorów statków powietrznych - w postaci zwiększenia obciążenia dla pracowników,</w:t>
            </w:r>
            <w:r w:rsidR="0069487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ewentualnie konieczności korzystania z usług zewnętrznych (wykonania analiz, badań, pomiarów). Może to generować dla tych podmiotów dodatkowe koszty. </w:t>
            </w:r>
          </w:p>
          <w:p w:rsidR="000F2CF0" w:rsidRDefault="009B3D09" w:rsidP="00406018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Zarządzający portami lotniczymi </w:t>
            </w:r>
            <w:r w:rsidR="00C9544B" w:rsidRPr="00C954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poniosą ponadto koszty przeprowadzenia konsultacji (koszt ogłoszeń w lokalnych mediach, organizacji ewentualnych spotkań konsultacyjnych itp.)</w:t>
            </w:r>
            <w:r w:rsidR="0069487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9E3C4B" w:rsidRPr="008B4FE6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EF6910">
            <w:pPr>
              <w:tabs>
                <w:tab w:val="right" w:pos="193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24BD7" w:rsidRPr="008B4FE6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BA42B4" w:rsidRPr="00BA42B4" w:rsidRDefault="00481ED3" w:rsidP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Brak wpływu</w:t>
            </w:r>
            <w:r w:rsidR="00BA4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="00BA42B4" w:rsidRPr="00BA42B4">
              <w:rPr>
                <w:rFonts w:ascii="Times New Roman" w:hAnsi="Times New Roman"/>
                <w:color w:val="000000"/>
                <w:sz w:val="24"/>
                <w:szCs w:val="24"/>
              </w:rPr>
              <w:t>mikroprzedsiębiorców</w:t>
            </w:r>
            <w:proofErr w:type="spellEnd"/>
            <w:r w:rsidR="00BA42B4" w:rsidRPr="00BA42B4">
              <w:rPr>
                <w:rFonts w:ascii="Times New Roman" w:hAnsi="Times New Roman"/>
                <w:color w:val="000000"/>
                <w:sz w:val="24"/>
                <w:szCs w:val="24"/>
              </w:rPr>
              <w:t>, mał</w:t>
            </w:r>
            <w:r w:rsidR="00BA42B4">
              <w:rPr>
                <w:rFonts w:ascii="Times New Roman" w:hAnsi="Times New Roman"/>
                <w:color w:val="000000"/>
                <w:sz w:val="24"/>
                <w:szCs w:val="24"/>
              </w:rPr>
              <w:t>ych i średnich przedsiębiorców.</w:t>
            </w:r>
          </w:p>
          <w:p w:rsidR="000F2CF0" w:rsidRDefault="00BA42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Brak wpływu na </w:t>
            </w:r>
            <w:r w:rsidRPr="00BA42B4">
              <w:rPr>
                <w:rFonts w:ascii="Times New Roman" w:hAnsi="Times New Roman"/>
                <w:color w:val="000000"/>
                <w:sz w:val="24"/>
                <w:szCs w:val="24"/>
              </w:rPr>
              <w:t>sytuację ekonomiczną i społeczną rodziny, a także osób niepeł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nosprawnych oraz osób starszych.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D86AFF" w:rsidRPr="008B4FE6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1930998347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☒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nie dotyczy</w:t>
            </w:r>
          </w:p>
        </w:tc>
      </w:tr>
      <w:tr w:rsidR="00D86AFF" w:rsidRPr="008B4FE6" w:rsidTr="00B51DD0">
        <w:trPr>
          <w:gridAfter w:val="1"/>
          <w:wAfter w:w="10" w:type="dxa"/>
          <w:trHeight w:val="557"/>
        </w:trPr>
        <w:tc>
          <w:tcPr>
            <w:tcW w:w="5111" w:type="dxa"/>
            <w:gridSpan w:val="1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-501432790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-1774005171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351533669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1B3460" w:rsidRPr="008B4FE6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-1646118103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zmniejszenie liczby dokumentów 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1876505849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zmniejszenie liczby procedur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-2082051990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skrócenie czasu na załatwienie sprawy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2112540246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inne: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2104995084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zwiększenie liczby dokumentów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762415844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procedur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-357036351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wydłużenie czasu na załatwienie sprawy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1149557140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inne:</w:t>
            </w:r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0DA2" w:rsidRPr="008B4FE6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297268939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:rsidR="000F2CF0" w:rsidRDefault="009E0D04" w:rsidP="00A97BE7">
            <w:pPr>
              <w:tabs>
                <w:tab w:val="center" w:pos="280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-1887021666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  <w:r w:rsidR="00A97BE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1904862519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017" w:rsidRPr="008B4FE6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Komentarz: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017" w:rsidRPr="00FC54C0" w:rsidRDefault="00117017" w:rsidP="00FC54C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Rozporządzenie nie wpłynie na rynek pracy.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1B3460" w:rsidRPr="008B4FE6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365952688"/>
              </w:sdtPr>
              <w:sdtContent>
                <w:r w:rsidR="002974C2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-1888785328"/>
              </w:sdtPr>
              <w:sdtContent>
                <w:r w:rsidR="002974C2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366884454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inne:</w:t>
            </w:r>
            <w:r w:rsidR="00600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070E" w:rsidRPr="0060070E">
              <w:rPr>
                <w:rFonts w:ascii="Times New Roman" w:hAnsi="Times New Roman"/>
                <w:color w:val="000000"/>
                <w:sz w:val="24"/>
                <w:szCs w:val="24"/>
              </w:rPr>
              <w:t>sytuacja ekonomiczna i społeczną rodziny, a także osób niepełnosprawnych oraz osób starszych</w:t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  <w:sz w:val="24"/>
                  <w:szCs w:val="24"/>
                </w:rPr>
                <w:id w:val="-1170861332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demografia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1090503991"/>
              </w:sdtPr>
              <w:sdtContent>
                <w:r w:rsidR="00EF6910" w:rsidRPr="00EF6910">
                  <w:rPr>
                    <w:rFonts w:ascii="MS Gothic" w:eastAsia="MS Gothic" w:hAnsi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F6910"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</w:sdtPr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0F2CF0" w:rsidRDefault="009E0D04">
            <w:pPr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</w:sdtPr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0F2CF0" w:rsidRDefault="002974C2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Ograniczenie wielkości szkodliwych emisji hałasu do środowiska. </w:t>
            </w:r>
          </w:p>
          <w:p w:rsidR="000F2CF0" w:rsidRDefault="002974C2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Ograniczenie rozwoju gospodarczego w sektorach zależnych od transportu lotniczego, w wymiarze regionu, na który oddziałuje transport lotniczy obsługiwany w porcie lotniczym, w którym zostaną wprowadzone ograniczenia operacyjne.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Planowane wykonanie przepisów aktu prawnego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Wykonanie przepisów rozporządzenia nastąpi w dniu jego wejścia w życie. 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F691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Planowany efekt może powstać po wejściu w życiu projektu. Brak konieczności określenia mierników.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0F2CF0" w:rsidRDefault="00EF6910">
            <w:pPr>
              <w:numPr>
                <w:ilvl w:val="0"/>
                <w:numId w:val="3"/>
              </w:numPr>
              <w:spacing w:before="60" w:after="60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Załączniki </w:t>
            </w:r>
            <w:r w:rsidRPr="00EF691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(istotne dokumenty źródłowe, badania, analizy itp.</w:t>
            </w:r>
            <w:r w:rsidRPr="00EF691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</w:tr>
      <w:tr w:rsidR="001B3460" w:rsidRPr="008B4FE6" w:rsidTr="00EC68C4">
        <w:trPr>
          <w:gridAfter w:val="1"/>
          <w:wAfter w:w="10" w:type="dxa"/>
          <w:trHeight w:val="349"/>
        </w:trPr>
        <w:tc>
          <w:tcPr>
            <w:tcW w:w="10937" w:type="dxa"/>
            <w:gridSpan w:val="29"/>
            <w:shd w:val="clear" w:color="auto" w:fill="FFFFFF"/>
          </w:tcPr>
          <w:p w:rsidR="000F2CF0" w:rsidRDefault="000F2CF0">
            <w:pPr>
              <w:jc w:val="both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0F2CF0" w:rsidRDefault="00EF691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F69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</w:t>
            </w:r>
          </w:p>
          <w:p w:rsidR="000F2CF0" w:rsidRDefault="000F2CF0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5E7158" w:rsidRDefault="005E7158">
      <w:pPr>
        <w:pStyle w:val="Nagwek1"/>
        <w:spacing w:line="276" w:lineRule="auto"/>
        <w:rPr>
          <w:rFonts w:ascii="Times New Roman" w:hAnsi="Times New Roman"/>
          <w:sz w:val="20"/>
          <w:szCs w:val="20"/>
        </w:rPr>
      </w:pPr>
    </w:p>
    <w:sectPr w:rsidR="005E7158" w:rsidSect="00725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CA8B93" w16cid:durableId="22D434E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49" w:rsidRDefault="00606849" w:rsidP="00044739">
      <w:pPr>
        <w:spacing w:line="240" w:lineRule="auto"/>
      </w:pPr>
      <w:r>
        <w:separator/>
      </w:r>
    </w:p>
  </w:endnote>
  <w:endnote w:type="continuationSeparator" w:id="0">
    <w:p w:rsidR="00606849" w:rsidRDefault="00606849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49" w:rsidRDefault="00606849" w:rsidP="00044739">
      <w:pPr>
        <w:spacing w:line="240" w:lineRule="auto"/>
      </w:pPr>
      <w:r>
        <w:separator/>
      </w:r>
    </w:p>
  </w:footnote>
  <w:footnote w:type="continuationSeparator" w:id="0">
    <w:p w:rsidR="00606849" w:rsidRDefault="00606849" w:rsidP="000447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D6" w:rsidRDefault="00EC4E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BD"/>
    <w:multiLevelType w:val="hybridMultilevel"/>
    <w:tmpl w:val="D89A1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D110882"/>
    <w:multiLevelType w:val="hybridMultilevel"/>
    <w:tmpl w:val="B1E6788C"/>
    <w:lvl w:ilvl="0" w:tplc="01740A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>
    <w:nsid w:val="49C13E01"/>
    <w:multiLevelType w:val="hybridMultilevel"/>
    <w:tmpl w:val="D5AA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FB34BA6"/>
    <w:multiLevelType w:val="hybridMultilevel"/>
    <w:tmpl w:val="C0B21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0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16"/>
  </w:num>
  <w:num w:numId="10">
    <w:abstractNumId w:val="11"/>
  </w:num>
  <w:num w:numId="11">
    <w:abstractNumId w:val="14"/>
  </w:num>
  <w:num w:numId="12">
    <w:abstractNumId w:val="3"/>
  </w:num>
  <w:num w:numId="13">
    <w:abstractNumId w:val="10"/>
  </w:num>
  <w:num w:numId="14">
    <w:abstractNumId w:val="21"/>
  </w:num>
  <w:num w:numId="15">
    <w:abstractNumId w:val="17"/>
  </w:num>
  <w:num w:numId="16">
    <w:abstractNumId w:val="19"/>
  </w:num>
  <w:num w:numId="17">
    <w:abstractNumId w:val="6"/>
  </w:num>
  <w:num w:numId="18">
    <w:abstractNumId w:val="22"/>
  </w:num>
  <w:num w:numId="19">
    <w:abstractNumId w:val="23"/>
  </w:num>
  <w:num w:numId="20">
    <w:abstractNumId w:val="18"/>
  </w:num>
  <w:num w:numId="21">
    <w:abstractNumId w:val="7"/>
  </w:num>
  <w:num w:numId="22">
    <w:abstractNumId w:val="0"/>
  </w:num>
  <w:num w:numId="23">
    <w:abstractNumId w:val="12"/>
  </w:num>
  <w:num w:numId="24">
    <w:abstractNumId w:val="15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646CB"/>
    <w:rsid w:val="000008E5"/>
    <w:rsid w:val="000015EE"/>
    <w:rsid w:val="000022D5"/>
    <w:rsid w:val="0000357F"/>
    <w:rsid w:val="00004C6A"/>
    <w:rsid w:val="00007B7F"/>
    <w:rsid w:val="00012D11"/>
    <w:rsid w:val="00013EB5"/>
    <w:rsid w:val="000165FA"/>
    <w:rsid w:val="00023836"/>
    <w:rsid w:val="00024284"/>
    <w:rsid w:val="000356A9"/>
    <w:rsid w:val="0004030B"/>
    <w:rsid w:val="00044138"/>
    <w:rsid w:val="00044739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916ED"/>
    <w:rsid w:val="000944AC"/>
    <w:rsid w:val="00094CB9"/>
    <w:rsid w:val="000956B2"/>
    <w:rsid w:val="000969E7"/>
    <w:rsid w:val="000A23DE"/>
    <w:rsid w:val="000A4020"/>
    <w:rsid w:val="000B54FB"/>
    <w:rsid w:val="000C29B0"/>
    <w:rsid w:val="000C2A91"/>
    <w:rsid w:val="000C76FC"/>
    <w:rsid w:val="000D0D58"/>
    <w:rsid w:val="000D38FC"/>
    <w:rsid w:val="000D4D90"/>
    <w:rsid w:val="000E2D10"/>
    <w:rsid w:val="000F2CF0"/>
    <w:rsid w:val="000F2F5C"/>
    <w:rsid w:val="000F3204"/>
    <w:rsid w:val="0010548B"/>
    <w:rsid w:val="00106C2D"/>
    <w:rsid w:val="001072D1"/>
    <w:rsid w:val="00117017"/>
    <w:rsid w:val="00130E8E"/>
    <w:rsid w:val="0013122E"/>
    <w:rsid w:val="0013216E"/>
    <w:rsid w:val="00135BA1"/>
    <w:rsid w:val="001401B5"/>
    <w:rsid w:val="001422B9"/>
    <w:rsid w:val="0014665F"/>
    <w:rsid w:val="001518CF"/>
    <w:rsid w:val="00153464"/>
    <w:rsid w:val="001541B3"/>
    <w:rsid w:val="00155B15"/>
    <w:rsid w:val="001625BE"/>
    <w:rsid w:val="001643A4"/>
    <w:rsid w:val="001675C0"/>
    <w:rsid w:val="001727BB"/>
    <w:rsid w:val="00180D25"/>
    <w:rsid w:val="0018318D"/>
    <w:rsid w:val="0018572C"/>
    <w:rsid w:val="00185E01"/>
    <w:rsid w:val="00187E79"/>
    <w:rsid w:val="00187F0D"/>
    <w:rsid w:val="00192CC5"/>
    <w:rsid w:val="001956A7"/>
    <w:rsid w:val="001A118A"/>
    <w:rsid w:val="001A27F4"/>
    <w:rsid w:val="001A2D95"/>
    <w:rsid w:val="001A5496"/>
    <w:rsid w:val="001B3460"/>
    <w:rsid w:val="001B4CA1"/>
    <w:rsid w:val="001B75D8"/>
    <w:rsid w:val="001C1060"/>
    <w:rsid w:val="001C3C63"/>
    <w:rsid w:val="001D05A5"/>
    <w:rsid w:val="001D4732"/>
    <w:rsid w:val="001D6A3C"/>
    <w:rsid w:val="001D6D51"/>
    <w:rsid w:val="001F653A"/>
    <w:rsid w:val="001F6979"/>
    <w:rsid w:val="00202BC6"/>
    <w:rsid w:val="00205141"/>
    <w:rsid w:val="0020516B"/>
    <w:rsid w:val="00212772"/>
    <w:rsid w:val="00213559"/>
    <w:rsid w:val="00213EFD"/>
    <w:rsid w:val="002172F1"/>
    <w:rsid w:val="00223C7B"/>
    <w:rsid w:val="00224AB1"/>
    <w:rsid w:val="0022687A"/>
    <w:rsid w:val="00230304"/>
    <w:rsid w:val="00230728"/>
    <w:rsid w:val="00234040"/>
    <w:rsid w:val="00235CD2"/>
    <w:rsid w:val="00252C1F"/>
    <w:rsid w:val="00254DED"/>
    <w:rsid w:val="00255619"/>
    <w:rsid w:val="00255DAD"/>
    <w:rsid w:val="00256108"/>
    <w:rsid w:val="00260F33"/>
    <w:rsid w:val="002613BD"/>
    <w:rsid w:val="002624F1"/>
    <w:rsid w:val="0026256A"/>
    <w:rsid w:val="00270C81"/>
    <w:rsid w:val="00271558"/>
    <w:rsid w:val="00273C8F"/>
    <w:rsid w:val="00274862"/>
    <w:rsid w:val="002811BF"/>
    <w:rsid w:val="00282D72"/>
    <w:rsid w:val="00283402"/>
    <w:rsid w:val="00287456"/>
    <w:rsid w:val="00290FD6"/>
    <w:rsid w:val="00294259"/>
    <w:rsid w:val="002974C2"/>
    <w:rsid w:val="002A1C19"/>
    <w:rsid w:val="002A2C81"/>
    <w:rsid w:val="002B079D"/>
    <w:rsid w:val="002B3D1A"/>
    <w:rsid w:val="002C27D0"/>
    <w:rsid w:val="002C2C9B"/>
    <w:rsid w:val="002C5369"/>
    <w:rsid w:val="002D17D6"/>
    <w:rsid w:val="002D18D7"/>
    <w:rsid w:val="002D21CE"/>
    <w:rsid w:val="002E3DA3"/>
    <w:rsid w:val="002E450F"/>
    <w:rsid w:val="002E6B38"/>
    <w:rsid w:val="002E6D63"/>
    <w:rsid w:val="002E6E2B"/>
    <w:rsid w:val="002F12C7"/>
    <w:rsid w:val="002F500B"/>
    <w:rsid w:val="00300991"/>
    <w:rsid w:val="00301959"/>
    <w:rsid w:val="00302D1F"/>
    <w:rsid w:val="0030560C"/>
    <w:rsid w:val="00305B8A"/>
    <w:rsid w:val="003168C0"/>
    <w:rsid w:val="00324DF6"/>
    <w:rsid w:val="00331BF9"/>
    <w:rsid w:val="0033495E"/>
    <w:rsid w:val="00334A79"/>
    <w:rsid w:val="00334D8D"/>
    <w:rsid w:val="00337345"/>
    <w:rsid w:val="003378BA"/>
    <w:rsid w:val="00337DD2"/>
    <w:rsid w:val="003404D1"/>
    <w:rsid w:val="003438B1"/>
    <w:rsid w:val="003443FF"/>
    <w:rsid w:val="00355808"/>
    <w:rsid w:val="00362C7E"/>
    <w:rsid w:val="00363309"/>
    <w:rsid w:val="00363601"/>
    <w:rsid w:val="00371857"/>
    <w:rsid w:val="00372282"/>
    <w:rsid w:val="00376AC9"/>
    <w:rsid w:val="003862E8"/>
    <w:rsid w:val="00393032"/>
    <w:rsid w:val="00394B69"/>
    <w:rsid w:val="003955E3"/>
    <w:rsid w:val="00397078"/>
    <w:rsid w:val="003A6953"/>
    <w:rsid w:val="003B0E50"/>
    <w:rsid w:val="003B6083"/>
    <w:rsid w:val="003C210F"/>
    <w:rsid w:val="003C3838"/>
    <w:rsid w:val="003C5847"/>
    <w:rsid w:val="003D0681"/>
    <w:rsid w:val="003D12F6"/>
    <w:rsid w:val="003D1426"/>
    <w:rsid w:val="003E2F4E"/>
    <w:rsid w:val="003E6AEB"/>
    <w:rsid w:val="003E720A"/>
    <w:rsid w:val="004002B1"/>
    <w:rsid w:val="00403E6E"/>
    <w:rsid w:val="00406018"/>
    <w:rsid w:val="00411DA5"/>
    <w:rsid w:val="004129B4"/>
    <w:rsid w:val="00417EF0"/>
    <w:rsid w:val="00422181"/>
    <w:rsid w:val="004244A8"/>
    <w:rsid w:val="00425F72"/>
    <w:rsid w:val="00427736"/>
    <w:rsid w:val="00441787"/>
    <w:rsid w:val="00444F2D"/>
    <w:rsid w:val="004507A7"/>
    <w:rsid w:val="00452034"/>
    <w:rsid w:val="00455FA6"/>
    <w:rsid w:val="00464BC7"/>
    <w:rsid w:val="004666A4"/>
    <w:rsid w:val="00466C70"/>
    <w:rsid w:val="004702C9"/>
    <w:rsid w:val="00472E45"/>
    <w:rsid w:val="00473FEA"/>
    <w:rsid w:val="0047579D"/>
    <w:rsid w:val="004775F0"/>
    <w:rsid w:val="00481ED3"/>
    <w:rsid w:val="00483262"/>
    <w:rsid w:val="00484107"/>
    <w:rsid w:val="00485CC5"/>
    <w:rsid w:val="00487974"/>
    <w:rsid w:val="00490F41"/>
    <w:rsid w:val="0049343F"/>
    <w:rsid w:val="004964FC"/>
    <w:rsid w:val="004A145E"/>
    <w:rsid w:val="004A1F15"/>
    <w:rsid w:val="004A2A81"/>
    <w:rsid w:val="004A7BD7"/>
    <w:rsid w:val="004C0298"/>
    <w:rsid w:val="004C15C2"/>
    <w:rsid w:val="004C36D8"/>
    <w:rsid w:val="004D1248"/>
    <w:rsid w:val="004D1E3C"/>
    <w:rsid w:val="004D4169"/>
    <w:rsid w:val="004D6E14"/>
    <w:rsid w:val="004E5FDD"/>
    <w:rsid w:val="004F0575"/>
    <w:rsid w:val="004F4E17"/>
    <w:rsid w:val="004F5FD8"/>
    <w:rsid w:val="0050082F"/>
    <w:rsid w:val="00500C56"/>
    <w:rsid w:val="00501713"/>
    <w:rsid w:val="00501BA3"/>
    <w:rsid w:val="00505449"/>
    <w:rsid w:val="005056A5"/>
    <w:rsid w:val="00506568"/>
    <w:rsid w:val="00507025"/>
    <w:rsid w:val="0051551B"/>
    <w:rsid w:val="00516A08"/>
    <w:rsid w:val="00520C57"/>
    <w:rsid w:val="00522D94"/>
    <w:rsid w:val="00523FCE"/>
    <w:rsid w:val="00533D89"/>
    <w:rsid w:val="00536564"/>
    <w:rsid w:val="00544597"/>
    <w:rsid w:val="00544FFE"/>
    <w:rsid w:val="005473F5"/>
    <w:rsid w:val="005477E7"/>
    <w:rsid w:val="00552794"/>
    <w:rsid w:val="00554CBB"/>
    <w:rsid w:val="00555D42"/>
    <w:rsid w:val="00560D25"/>
    <w:rsid w:val="00563199"/>
    <w:rsid w:val="00564874"/>
    <w:rsid w:val="005661C3"/>
    <w:rsid w:val="00567963"/>
    <w:rsid w:val="0057009A"/>
    <w:rsid w:val="00571260"/>
    <w:rsid w:val="0057189C"/>
    <w:rsid w:val="00573FC1"/>
    <w:rsid w:val="005741EE"/>
    <w:rsid w:val="0057668E"/>
    <w:rsid w:val="005955D5"/>
    <w:rsid w:val="00595E83"/>
    <w:rsid w:val="00596530"/>
    <w:rsid w:val="005967F3"/>
    <w:rsid w:val="005A06DF"/>
    <w:rsid w:val="005A5527"/>
    <w:rsid w:val="005A5AE6"/>
    <w:rsid w:val="005B1206"/>
    <w:rsid w:val="005B37E8"/>
    <w:rsid w:val="005B4DFF"/>
    <w:rsid w:val="005B6F65"/>
    <w:rsid w:val="005C0056"/>
    <w:rsid w:val="005C5979"/>
    <w:rsid w:val="005D61D6"/>
    <w:rsid w:val="005E0D13"/>
    <w:rsid w:val="005E5047"/>
    <w:rsid w:val="005E7158"/>
    <w:rsid w:val="005E7205"/>
    <w:rsid w:val="005E7371"/>
    <w:rsid w:val="005F116C"/>
    <w:rsid w:val="005F2131"/>
    <w:rsid w:val="005F2B0D"/>
    <w:rsid w:val="0060070E"/>
    <w:rsid w:val="00605EF6"/>
    <w:rsid w:val="00606455"/>
    <w:rsid w:val="00606848"/>
    <w:rsid w:val="00606849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75A"/>
    <w:rsid w:val="0063550B"/>
    <w:rsid w:val="006370D2"/>
    <w:rsid w:val="0064074F"/>
    <w:rsid w:val="00641F55"/>
    <w:rsid w:val="00645E4A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777AE"/>
    <w:rsid w:val="006832CF"/>
    <w:rsid w:val="006848F6"/>
    <w:rsid w:val="0068601E"/>
    <w:rsid w:val="0069288F"/>
    <w:rsid w:val="0069486B"/>
    <w:rsid w:val="00694876"/>
    <w:rsid w:val="006964AE"/>
    <w:rsid w:val="006A146B"/>
    <w:rsid w:val="006A39E7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F1435"/>
    <w:rsid w:val="006F1BDF"/>
    <w:rsid w:val="006F78C4"/>
    <w:rsid w:val="00702921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26CD8"/>
    <w:rsid w:val="00731018"/>
    <w:rsid w:val="007318DD"/>
    <w:rsid w:val="00733167"/>
    <w:rsid w:val="00734238"/>
    <w:rsid w:val="007376FF"/>
    <w:rsid w:val="00740D2C"/>
    <w:rsid w:val="007415D0"/>
    <w:rsid w:val="00744BF9"/>
    <w:rsid w:val="0074763F"/>
    <w:rsid w:val="00747E13"/>
    <w:rsid w:val="00752623"/>
    <w:rsid w:val="00754517"/>
    <w:rsid w:val="00757E84"/>
    <w:rsid w:val="00760F1F"/>
    <w:rsid w:val="0076423E"/>
    <w:rsid w:val="007646CB"/>
    <w:rsid w:val="0076658F"/>
    <w:rsid w:val="0077040A"/>
    <w:rsid w:val="00772D64"/>
    <w:rsid w:val="00777439"/>
    <w:rsid w:val="00781526"/>
    <w:rsid w:val="00792609"/>
    <w:rsid w:val="00792887"/>
    <w:rsid w:val="007943E2"/>
    <w:rsid w:val="00794F2C"/>
    <w:rsid w:val="007A3BC7"/>
    <w:rsid w:val="007A5AC4"/>
    <w:rsid w:val="007B0FDD"/>
    <w:rsid w:val="007B1139"/>
    <w:rsid w:val="007B3AEE"/>
    <w:rsid w:val="007B4802"/>
    <w:rsid w:val="007B6668"/>
    <w:rsid w:val="007B6B33"/>
    <w:rsid w:val="007C2701"/>
    <w:rsid w:val="007D2192"/>
    <w:rsid w:val="007E69BB"/>
    <w:rsid w:val="007F0021"/>
    <w:rsid w:val="007F18BF"/>
    <w:rsid w:val="007F2173"/>
    <w:rsid w:val="007F2F52"/>
    <w:rsid w:val="007F7C2E"/>
    <w:rsid w:val="00800241"/>
    <w:rsid w:val="008014DA"/>
    <w:rsid w:val="00801F71"/>
    <w:rsid w:val="00805F28"/>
    <w:rsid w:val="0080749F"/>
    <w:rsid w:val="00811D46"/>
    <w:rsid w:val="008125B0"/>
    <w:rsid w:val="008144CB"/>
    <w:rsid w:val="00821717"/>
    <w:rsid w:val="00824210"/>
    <w:rsid w:val="00824EC9"/>
    <w:rsid w:val="008263C0"/>
    <w:rsid w:val="00832D48"/>
    <w:rsid w:val="00841422"/>
    <w:rsid w:val="00841D3B"/>
    <w:rsid w:val="0084314C"/>
    <w:rsid w:val="00843171"/>
    <w:rsid w:val="00850045"/>
    <w:rsid w:val="00856799"/>
    <w:rsid w:val="008575C3"/>
    <w:rsid w:val="00857A33"/>
    <w:rsid w:val="00863D28"/>
    <w:rsid w:val="008648C3"/>
    <w:rsid w:val="00880F26"/>
    <w:rsid w:val="00882066"/>
    <w:rsid w:val="00890EF9"/>
    <w:rsid w:val="00896C2E"/>
    <w:rsid w:val="008A0F97"/>
    <w:rsid w:val="008A5095"/>
    <w:rsid w:val="008A608F"/>
    <w:rsid w:val="008B0FD0"/>
    <w:rsid w:val="008B1A9A"/>
    <w:rsid w:val="008B4FE6"/>
    <w:rsid w:val="008B50C3"/>
    <w:rsid w:val="008B6C37"/>
    <w:rsid w:val="008C5B0D"/>
    <w:rsid w:val="008E18F7"/>
    <w:rsid w:val="008E1E10"/>
    <w:rsid w:val="008E291B"/>
    <w:rsid w:val="008E4F2F"/>
    <w:rsid w:val="008E74B0"/>
    <w:rsid w:val="009008A8"/>
    <w:rsid w:val="009063B0"/>
    <w:rsid w:val="00907106"/>
    <w:rsid w:val="00907E0C"/>
    <w:rsid w:val="009107FD"/>
    <w:rsid w:val="0091137C"/>
    <w:rsid w:val="00911567"/>
    <w:rsid w:val="00917AAE"/>
    <w:rsid w:val="00920F2C"/>
    <w:rsid w:val="009251A9"/>
    <w:rsid w:val="00930699"/>
    <w:rsid w:val="00931F69"/>
    <w:rsid w:val="00934123"/>
    <w:rsid w:val="0093481E"/>
    <w:rsid w:val="00941597"/>
    <w:rsid w:val="00955774"/>
    <w:rsid w:val="009560B5"/>
    <w:rsid w:val="00957535"/>
    <w:rsid w:val="0096175E"/>
    <w:rsid w:val="00967754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045"/>
    <w:rsid w:val="00991F96"/>
    <w:rsid w:val="009928E4"/>
    <w:rsid w:val="00996F0A"/>
    <w:rsid w:val="009A0658"/>
    <w:rsid w:val="009A1D86"/>
    <w:rsid w:val="009A46F8"/>
    <w:rsid w:val="009B049C"/>
    <w:rsid w:val="009B11C8"/>
    <w:rsid w:val="009B2BCF"/>
    <w:rsid w:val="009B2FF8"/>
    <w:rsid w:val="009B3D09"/>
    <w:rsid w:val="009B5BA3"/>
    <w:rsid w:val="009B7CD5"/>
    <w:rsid w:val="009D0027"/>
    <w:rsid w:val="009D0655"/>
    <w:rsid w:val="009E0D04"/>
    <w:rsid w:val="009E1E98"/>
    <w:rsid w:val="009E3ABE"/>
    <w:rsid w:val="009E3C4B"/>
    <w:rsid w:val="009E557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6831"/>
    <w:rsid w:val="00A17CB2"/>
    <w:rsid w:val="00A200EC"/>
    <w:rsid w:val="00A23191"/>
    <w:rsid w:val="00A319C0"/>
    <w:rsid w:val="00A33560"/>
    <w:rsid w:val="00A356E2"/>
    <w:rsid w:val="00A364E4"/>
    <w:rsid w:val="00A371A5"/>
    <w:rsid w:val="00A45CA1"/>
    <w:rsid w:val="00A47BDF"/>
    <w:rsid w:val="00A51CD7"/>
    <w:rsid w:val="00A52ADB"/>
    <w:rsid w:val="00A533E8"/>
    <w:rsid w:val="00A542D9"/>
    <w:rsid w:val="00A55634"/>
    <w:rsid w:val="00A56E64"/>
    <w:rsid w:val="00A624C3"/>
    <w:rsid w:val="00A6610C"/>
    <w:rsid w:val="00A6641C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97BE7"/>
    <w:rsid w:val="00AA5822"/>
    <w:rsid w:val="00AA656F"/>
    <w:rsid w:val="00AB1ACD"/>
    <w:rsid w:val="00AB277F"/>
    <w:rsid w:val="00AB4099"/>
    <w:rsid w:val="00AB449A"/>
    <w:rsid w:val="00AC4ACF"/>
    <w:rsid w:val="00AC5A17"/>
    <w:rsid w:val="00AD14F9"/>
    <w:rsid w:val="00AD1C50"/>
    <w:rsid w:val="00AD35D6"/>
    <w:rsid w:val="00AD5466"/>
    <w:rsid w:val="00AD58C5"/>
    <w:rsid w:val="00AE36C4"/>
    <w:rsid w:val="00AE472C"/>
    <w:rsid w:val="00AE478F"/>
    <w:rsid w:val="00AE5375"/>
    <w:rsid w:val="00AE6CF8"/>
    <w:rsid w:val="00AF4CAC"/>
    <w:rsid w:val="00B00F98"/>
    <w:rsid w:val="00B03E0D"/>
    <w:rsid w:val="00B054F8"/>
    <w:rsid w:val="00B0722B"/>
    <w:rsid w:val="00B110E5"/>
    <w:rsid w:val="00B2219A"/>
    <w:rsid w:val="00B3581B"/>
    <w:rsid w:val="00B36B81"/>
    <w:rsid w:val="00B36FEE"/>
    <w:rsid w:val="00B37C80"/>
    <w:rsid w:val="00B4304F"/>
    <w:rsid w:val="00B5092B"/>
    <w:rsid w:val="00B5194E"/>
    <w:rsid w:val="00B51AF5"/>
    <w:rsid w:val="00B51DD0"/>
    <w:rsid w:val="00B531FC"/>
    <w:rsid w:val="00B55347"/>
    <w:rsid w:val="00B57E5E"/>
    <w:rsid w:val="00B61F37"/>
    <w:rsid w:val="00B6210F"/>
    <w:rsid w:val="00B70DD3"/>
    <w:rsid w:val="00B75221"/>
    <w:rsid w:val="00B7770F"/>
    <w:rsid w:val="00B77A89"/>
    <w:rsid w:val="00B77B27"/>
    <w:rsid w:val="00B8134E"/>
    <w:rsid w:val="00B81B55"/>
    <w:rsid w:val="00B83181"/>
    <w:rsid w:val="00B84613"/>
    <w:rsid w:val="00B87AF0"/>
    <w:rsid w:val="00B9037B"/>
    <w:rsid w:val="00B910BD"/>
    <w:rsid w:val="00B9189C"/>
    <w:rsid w:val="00B93834"/>
    <w:rsid w:val="00B96469"/>
    <w:rsid w:val="00BA0DA2"/>
    <w:rsid w:val="00BA2981"/>
    <w:rsid w:val="00BA2BB7"/>
    <w:rsid w:val="00BA42B4"/>
    <w:rsid w:val="00BA42EE"/>
    <w:rsid w:val="00BA48F9"/>
    <w:rsid w:val="00BA5234"/>
    <w:rsid w:val="00BB0DCA"/>
    <w:rsid w:val="00BB2666"/>
    <w:rsid w:val="00BB6B80"/>
    <w:rsid w:val="00BC229A"/>
    <w:rsid w:val="00BC3773"/>
    <w:rsid w:val="00BC381A"/>
    <w:rsid w:val="00BD0962"/>
    <w:rsid w:val="00BD1EED"/>
    <w:rsid w:val="00BF05F1"/>
    <w:rsid w:val="00BF0DA2"/>
    <w:rsid w:val="00BF109C"/>
    <w:rsid w:val="00BF34FA"/>
    <w:rsid w:val="00C004B6"/>
    <w:rsid w:val="00C0369B"/>
    <w:rsid w:val="00C047A7"/>
    <w:rsid w:val="00C05DE5"/>
    <w:rsid w:val="00C20CB2"/>
    <w:rsid w:val="00C217EA"/>
    <w:rsid w:val="00C33027"/>
    <w:rsid w:val="00C37667"/>
    <w:rsid w:val="00C435DB"/>
    <w:rsid w:val="00C44D73"/>
    <w:rsid w:val="00C50B42"/>
    <w:rsid w:val="00C516FF"/>
    <w:rsid w:val="00C51C82"/>
    <w:rsid w:val="00C52BFA"/>
    <w:rsid w:val="00C53D1D"/>
    <w:rsid w:val="00C53F26"/>
    <w:rsid w:val="00C540BC"/>
    <w:rsid w:val="00C5499D"/>
    <w:rsid w:val="00C64F7D"/>
    <w:rsid w:val="00C67309"/>
    <w:rsid w:val="00C7614E"/>
    <w:rsid w:val="00C76B73"/>
    <w:rsid w:val="00C77BF1"/>
    <w:rsid w:val="00C80D60"/>
    <w:rsid w:val="00C82FBD"/>
    <w:rsid w:val="00C84317"/>
    <w:rsid w:val="00C85267"/>
    <w:rsid w:val="00C8721B"/>
    <w:rsid w:val="00C9372C"/>
    <w:rsid w:val="00C9470E"/>
    <w:rsid w:val="00C95050"/>
    <w:rsid w:val="00C9544B"/>
    <w:rsid w:val="00C95CEB"/>
    <w:rsid w:val="00CA1054"/>
    <w:rsid w:val="00CA63EB"/>
    <w:rsid w:val="00CA69F1"/>
    <w:rsid w:val="00CA6BD3"/>
    <w:rsid w:val="00CB102A"/>
    <w:rsid w:val="00CB6991"/>
    <w:rsid w:val="00CC6194"/>
    <w:rsid w:val="00CC6305"/>
    <w:rsid w:val="00CC6E91"/>
    <w:rsid w:val="00CC78A5"/>
    <w:rsid w:val="00CD0516"/>
    <w:rsid w:val="00CD0C22"/>
    <w:rsid w:val="00CD3B62"/>
    <w:rsid w:val="00CD756B"/>
    <w:rsid w:val="00CE734F"/>
    <w:rsid w:val="00CF0C7E"/>
    <w:rsid w:val="00CF112E"/>
    <w:rsid w:val="00CF5F4F"/>
    <w:rsid w:val="00D022B5"/>
    <w:rsid w:val="00D218DC"/>
    <w:rsid w:val="00D24E56"/>
    <w:rsid w:val="00D254D4"/>
    <w:rsid w:val="00D25926"/>
    <w:rsid w:val="00D273E2"/>
    <w:rsid w:val="00D31643"/>
    <w:rsid w:val="00D31AEB"/>
    <w:rsid w:val="00D32ECD"/>
    <w:rsid w:val="00D32F7D"/>
    <w:rsid w:val="00D361E4"/>
    <w:rsid w:val="00D36D4C"/>
    <w:rsid w:val="00D37ACA"/>
    <w:rsid w:val="00D42A8F"/>
    <w:rsid w:val="00D439F6"/>
    <w:rsid w:val="00D459C6"/>
    <w:rsid w:val="00D50729"/>
    <w:rsid w:val="00D50C19"/>
    <w:rsid w:val="00D5207E"/>
    <w:rsid w:val="00D5379E"/>
    <w:rsid w:val="00D60F9A"/>
    <w:rsid w:val="00D6143A"/>
    <w:rsid w:val="00D62643"/>
    <w:rsid w:val="00D64C0F"/>
    <w:rsid w:val="00D72EFE"/>
    <w:rsid w:val="00D76227"/>
    <w:rsid w:val="00D77DF1"/>
    <w:rsid w:val="00D86AFF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5D80"/>
    <w:rsid w:val="00DE6D80"/>
    <w:rsid w:val="00DF58CD"/>
    <w:rsid w:val="00DF65DE"/>
    <w:rsid w:val="00E019A5"/>
    <w:rsid w:val="00E02AEE"/>
    <w:rsid w:val="00E02EC8"/>
    <w:rsid w:val="00E037F5"/>
    <w:rsid w:val="00E04ECB"/>
    <w:rsid w:val="00E05A09"/>
    <w:rsid w:val="00E06CA1"/>
    <w:rsid w:val="00E1628A"/>
    <w:rsid w:val="00E172B8"/>
    <w:rsid w:val="00E17FB4"/>
    <w:rsid w:val="00E20B75"/>
    <w:rsid w:val="00E214F2"/>
    <w:rsid w:val="00E2371E"/>
    <w:rsid w:val="00E24BD7"/>
    <w:rsid w:val="00E26506"/>
    <w:rsid w:val="00E26523"/>
    <w:rsid w:val="00E26809"/>
    <w:rsid w:val="00E3412D"/>
    <w:rsid w:val="00E438E5"/>
    <w:rsid w:val="00E57322"/>
    <w:rsid w:val="00E628CB"/>
    <w:rsid w:val="00E62AD9"/>
    <w:rsid w:val="00E638C8"/>
    <w:rsid w:val="00E65EE9"/>
    <w:rsid w:val="00E71242"/>
    <w:rsid w:val="00E7509B"/>
    <w:rsid w:val="00E80799"/>
    <w:rsid w:val="00E86590"/>
    <w:rsid w:val="00E907FF"/>
    <w:rsid w:val="00EA42D1"/>
    <w:rsid w:val="00EA42EF"/>
    <w:rsid w:val="00EB2DD1"/>
    <w:rsid w:val="00EB6B37"/>
    <w:rsid w:val="00EC29FE"/>
    <w:rsid w:val="00EC3C70"/>
    <w:rsid w:val="00EC4700"/>
    <w:rsid w:val="00EC4ED6"/>
    <w:rsid w:val="00EC68C4"/>
    <w:rsid w:val="00ED3A3D"/>
    <w:rsid w:val="00ED538A"/>
    <w:rsid w:val="00ED6FBC"/>
    <w:rsid w:val="00EE2F16"/>
    <w:rsid w:val="00EE3861"/>
    <w:rsid w:val="00EF18DC"/>
    <w:rsid w:val="00EF290C"/>
    <w:rsid w:val="00EF2E73"/>
    <w:rsid w:val="00EF6910"/>
    <w:rsid w:val="00EF7683"/>
    <w:rsid w:val="00EF7A2D"/>
    <w:rsid w:val="00F04F8D"/>
    <w:rsid w:val="00F10AD0"/>
    <w:rsid w:val="00F116CC"/>
    <w:rsid w:val="00F12BD1"/>
    <w:rsid w:val="00F15327"/>
    <w:rsid w:val="00F161E9"/>
    <w:rsid w:val="00F168CF"/>
    <w:rsid w:val="00F2555C"/>
    <w:rsid w:val="00F31DF3"/>
    <w:rsid w:val="00F33AE5"/>
    <w:rsid w:val="00F3597D"/>
    <w:rsid w:val="00F4376D"/>
    <w:rsid w:val="00F45399"/>
    <w:rsid w:val="00F465EA"/>
    <w:rsid w:val="00F51BEF"/>
    <w:rsid w:val="00F54E7B"/>
    <w:rsid w:val="00F55A88"/>
    <w:rsid w:val="00F604E5"/>
    <w:rsid w:val="00F74005"/>
    <w:rsid w:val="00F76884"/>
    <w:rsid w:val="00F83D24"/>
    <w:rsid w:val="00F83DD9"/>
    <w:rsid w:val="00F83F40"/>
    <w:rsid w:val="00F94974"/>
    <w:rsid w:val="00F970E0"/>
    <w:rsid w:val="00FA117A"/>
    <w:rsid w:val="00FB386A"/>
    <w:rsid w:val="00FB5732"/>
    <w:rsid w:val="00FC0786"/>
    <w:rsid w:val="00FC49EF"/>
    <w:rsid w:val="00FC54C0"/>
    <w:rsid w:val="00FC5703"/>
    <w:rsid w:val="00FE36E2"/>
    <w:rsid w:val="00FF11AD"/>
    <w:rsid w:val="00FF2971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styleId="Poprawka">
    <w:name w:val="Revision"/>
    <w:hidden/>
    <w:uiPriority w:val="99"/>
    <w:semiHidden/>
    <w:rsid w:val="00507025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481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F60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styleId="Poprawka">
    <w:name w:val="Revision"/>
    <w:hidden/>
    <w:uiPriority w:val="99"/>
    <w:semiHidden/>
    <w:rsid w:val="00507025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481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F604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11091</Characters>
  <Application>Microsoft Office Word</Application>
  <DocSecurity>4</DocSecurity>
  <Lines>92</Lines>
  <Paragraphs>25</Paragraphs>
  <ScaleCrop>false</ScaleCrop>
  <LinksUpToDate>false</LinksUpToDate>
  <CharactersWithSpaces>12754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2020-09-11T11:55:00Z</dcterms:created>
  <dcterms:modified xsi:type="dcterms:W3CDTF">2020-09-11T11:55:00Z</dcterms:modified>
</cp:coreProperties>
</file>