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E35BE4" w14:textId="77777777" w:rsidR="0009689F" w:rsidRPr="00FC359D" w:rsidRDefault="0009689F" w:rsidP="0009689F">
      <w:pPr>
        <w:pStyle w:val="TYTDZPRZEDMprzedmiotregulacjitytuulubdziau"/>
        <w:spacing w:before="0" w:after="120" w:line="276" w:lineRule="auto"/>
        <w:rPr>
          <w:rFonts w:ascii="Times New Roman" w:hAnsi="Times New Roman"/>
          <w:szCs w:val="24"/>
        </w:rPr>
      </w:pPr>
      <w:r w:rsidRPr="00FC359D">
        <w:rPr>
          <w:rFonts w:ascii="Times New Roman" w:hAnsi="Times New Roman"/>
          <w:szCs w:val="24"/>
        </w:rPr>
        <w:t>Uzasadnienie</w:t>
      </w:r>
    </w:p>
    <w:p w14:paraId="75491803" w14:textId="77777777" w:rsidR="0009689F" w:rsidRPr="00FC359D" w:rsidRDefault="0009689F" w:rsidP="0009689F">
      <w:pPr>
        <w:pStyle w:val="ARTartustawynprozporzdzenia"/>
        <w:spacing w:before="0" w:after="120" w:line="288" w:lineRule="auto"/>
        <w:ind w:firstLine="0"/>
        <w:rPr>
          <w:rFonts w:ascii="Times New Roman" w:hAnsi="Times New Roman" w:cs="Times New Roman"/>
          <w:szCs w:val="24"/>
        </w:rPr>
      </w:pPr>
    </w:p>
    <w:p w14:paraId="102B114C" w14:textId="19BBAF4C" w:rsidR="0009689F" w:rsidRPr="00EE3C95" w:rsidRDefault="0009689F" w:rsidP="00E6287A">
      <w:pPr>
        <w:pStyle w:val="Nagwek2"/>
        <w:rPr>
          <w:rStyle w:val="Ppogrubienie"/>
          <w:szCs w:val="24"/>
        </w:rPr>
      </w:pPr>
      <w:r w:rsidRPr="00EE3C95">
        <w:rPr>
          <w:rStyle w:val="Ppogrubienie"/>
          <w:szCs w:val="24"/>
        </w:rPr>
        <w:t>I.</w:t>
      </w:r>
      <w:r w:rsidRPr="00EE3C95">
        <w:rPr>
          <w:rStyle w:val="Ppogrubienie"/>
          <w:szCs w:val="24"/>
        </w:rPr>
        <w:tab/>
        <w:t>Wyjaśnienie potrzeby i celu nowelizowania rozporządzenia</w:t>
      </w:r>
    </w:p>
    <w:p w14:paraId="5F433ACB" w14:textId="5040C0B6" w:rsidR="00D65ECA" w:rsidRPr="00FC359D" w:rsidRDefault="00431018" w:rsidP="00D65ECA">
      <w:pPr>
        <w:spacing w:line="288" w:lineRule="auto"/>
        <w:rPr>
          <w:rFonts w:eastAsiaTheme="minorEastAsia" w:cs="Times New Roman"/>
          <w:bCs/>
          <w:color w:val="auto"/>
          <w:szCs w:val="24"/>
          <w:lang w:eastAsia="pl-PL"/>
        </w:rPr>
      </w:pPr>
      <w:r w:rsidRPr="00FC359D">
        <w:rPr>
          <w:rFonts w:eastAsiaTheme="minorEastAsia" w:cs="Times New Roman"/>
          <w:bCs/>
          <w:color w:val="auto"/>
          <w:szCs w:val="24"/>
          <w:lang w:eastAsia="pl-PL"/>
        </w:rPr>
        <w:t xml:space="preserve">Zmiana </w:t>
      </w:r>
      <w:r w:rsidR="004C7D93" w:rsidRPr="00FC359D">
        <w:rPr>
          <w:rFonts w:eastAsiaTheme="minorEastAsia" w:cs="Times New Roman"/>
          <w:bCs/>
          <w:color w:val="auto"/>
          <w:szCs w:val="24"/>
          <w:lang w:eastAsia="pl-PL"/>
        </w:rPr>
        <w:t>r</w:t>
      </w:r>
      <w:r w:rsidR="008F25F5" w:rsidRPr="00FC359D">
        <w:rPr>
          <w:rFonts w:eastAsiaTheme="minorEastAsia" w:cs="Times New Roman"/>
          <w:bCs/>
          <w:color w:val="auto"/>
          <w:szCs w:val="24"/>
          <w:lang w:eastAsia="pl-PL"/>
        </w:rPr>
        <w:t xml:space="preserve">ozporządzenia </w:t>
      </w:r>
      <w:r w:rsidR="00C21C80" w:rsidRPr="00FC359D">
        <w:rPr>
          <w:rFonts w:eastAsiaTheme="minorEastAsia" w:cs="Times New Roman"/>
          <w:bCs/>
          <w:color w:val="auto"/>
          <w:szCs w:val="24"/>
          <w:lang w:eastAsia="pl-PL"/>
        </w:rPr>
        <w:t xml:space="preserve">Ministra Transportu, Budownictwa i Gospodarki Morskiej w sprawie klasyfikacji lotnisk i rejestru lotnisk z dnia 5 lipca 2013 r. </w:t>
      </w:r>
      <w:r w:rsidR="000865AE" w:rsidRPr="00FC359D">
        <w:rPr>
          <w:rFonts w:eastAsiaTheme="minorEastAsia" w:cs="Times New Roman"/>
          <w:bCs/>
          <w:color w:val="auto"/>
          <w:szCs w:val="24"/>
          <w:lang w:eastAsia="pl-PL"/>
        </w:rPr>
        <w:t>(</w:t>
      </w:r>
      <w:r w:rsidR="00C21C80" w:rsidRPr="00FC359D">
        <w:rPr>
          <w:rFonts w:eastAsiaTheme="minorEastAsia" w:cs="Times New Roman"/>
          <w:bCs/>
          <w:color w:val="auto"/>
          <w:szCs w:val="24"/>
          <w:lang w:eastAsia="pl-PL"/>
        </w:rPr>
        <w:t>Dz.</w:t>
      </w:r>
      <w:r w:rsidR="00B14265" w:rsidRPr="00FC359D">
        <w:rPr>
          <w:rFonts w:eastAsiaTheme="minorEastAsia" w:cs="Times New Roman"/>
          <w:bCs/>
          <w:color w:val="auto"/>
          <w:szCs w:val="24"/>
          <w:lang w:eastAsia="pl-PL"/>
        </w:rPr>
        <w:t xml:space="preserve"> </w:t>
      </w:r>
      <w:r w:rsidR="00C21C80" w:rsidRPr="00FC359D">
        <w:rPr>
          <w:rFonts w:eastAsiaTheme="minorEastAsia" w:cs="Times New Roman"/>
          <w:bCs/>
          <w:color w:val="auto"/>
          <w:szCs w:val="24"/>
          <w:lang w:eastAsia="pl-PL"/>
        </w:rPr>
        <w:t xml:space="preserve">U. z 2018 r. poz. 2145) </w:t>
      </w:r>
      <w:r w:rsidR="00230C44" w:rsidRPr="00FC359D">
        <w:rPr>
          <w:rFonts w:eastAsiaTheme="minorEastAsia" w:cs="Times New Roman"/>
          <w:bCs/>
          <w:color w:val="auto"/>
          <w:szCs w:val="24"/>
          <w:lang w:eastAsia="pl-PL"/>
        </w:rPr>
        <w:t>spowodowan</w:t>
      </w:r>
      <w:r w:rsidR="00052E4A" w:rsidRPr="00FC359D">
        <w:rPr>
          <w:rFonts w:eastAsiaTheme="minorEastAsia" w:cs="Times New Roman"/>
          <w:bCs/>
          <w:color w:val="auto"/>
          <w:szCs w:val="24"/>
          <w:lang w:eastAsia="pl-PL"/>
        </w:rPr>
        <w:t>a</w:t>
      </w:r>
      <w:r w:rsidR="00230C44" w:rsidRPr="00FC359D">
        <w:rPr>
          <w:rFonts w:eastAsiaTheme="minorEastAsia" w:cs="Times New Roman"/>
          <w:bCs/>
          <w:color w:val="auto"/>
          <w:szCs w:val="24"/>
          <w:lang w:eastAsia="pl-PL"/>
        </w:rPr>
        <w:t xml:space="preserve"> jest</w:t>
      </w:r>
      <w:r w:rsidR="002F19D3" w:rsidRPr="00FC359D">
        <w:rPr>
          <w:rFonts w:eastAsiaTheme="minorEastAsia" w:cs="Times New Roman"/>
          <w:bCs/>
          <w:color w:val="auto"/>
          <w:szCs w:val="24"/>
          <w:lang w:eastAsia="pl-PL"/>
        </w:rPr>
        <w:t xml:space="preserve"> konieczności</w:t>
      </w:r>
      <w:r w:rsidR="00230C44" w:rsidRPr="00FC359D">
        <w:rPr>
          <w:rFonts w:eastAsiaTheme="minorEastAsia" w:cs="Times New Roman"/>
          <w:bCs/>
          <w:color w:val="auto"/>
          <w:szCs w:val="24"/>
          <w:lang w:eastAsia="pl-PL"/>
        </w:rPr>
        <w:t>ą</w:t>
      </w:r>
      <w:r w:rsidR="002F19D3" w:rsidRPr="00FC359D">
        <w:rPr>
          <w:rFonts w:eastAsiaTheme="minorEastAsia" w:cs="Times New Roman"/>
          <w:bCs/>
          <w:color w:val="auto"/>
          <w:szCs w:val="24"/>
          <w:lang w:eastAsia="pl-PL"/>
        </w:rPr>
        <w:t xml:space="preserve"> </w:t>
      </w:r>
      <w:r w:rsidR="00D65ECA" w:rsidRPr="00FC359D">
        <w:rPr>
          <w:rFonts w:eastAsiaTheme="minorEastAsia" w:cs="Times New Roman"/>
          <w:bCs/>
          <w:color w:val="auto"/>
          <w:szCs w:val="24"/>
          <w:lang w:eastAsia="pl-PL"/>
        </w:rPr>
        <w:t>u</w:t>
      </w:r>
      <w:r w:rsidR="007C7D12" w:rsidRPr="00FC359D">
        <w:rPr>
          <w:rFonts w:eastAsiaTheme="minorEastAsia" w:cs="Times New Roman"/>
          <w:bCs/>
          <w:color w:val="auto"/>
          <w:szCs w:val="24"/>
          <w:lang w:eastAsia="pl-PL"/>
        </w:rPr>
        <w:t xml:space="preserve">aktualnienia </w:t>
      </w:r>
      <w:r w:rsidR="00B04DB2">
        <w:rPr>
          <w:rFonts w:eastAsiaTheme="minorEastAsia" w:cs="Times New Roman"/>
          <w:bCs/>
          <w:color w:val="auto"/>
          <w:szCs w:val="24"/>
          <w:lang w:eastAsia="pl-PL"/>
        </w:rPr>
        <w:t>prze</w:t>
      </w:r>
      <w:r w:rsidR="007C7D12" w:rsidRPr="00FC359D">
        <w:rPr>
          <w:rFonts w:eastAsiaTheme="minorEastAsia" w:cs="Times New Roman"/>
          <w:bCs/>
          <w:color w:val="auto"/>
          <w:szCs w:val="24"/>
          <w:lang w:eastAsia="pl-PL"/>
        </w:rPr>
        <w:t xml:space="preserve">pisów regulacji m.in. w zakresie </w:t>
      </w:r>
      <w:r w:rsidR="00230C44" w:rsidRPr="00FC359D">
        <w:rPr>
          <w:rFonts w:eastAsiaTheme="minorEastAsia" w:cs="Times New Roman"/>
          <w:bCs/>
          <w:color w:val="auto"/>
          <w:szCs w:val="24"/>
          <w:lang w:eastAsia="pl-PL"/>
        </w:rPr>
        <w:t>klasyfikacji kategorii lotnisk wynikającej</w:t>
      </w:r>
      <w:r w:rsidR="000865AE" w:rsidRPr="00FC359D">
        <w:rPr>
          <w:rFonts w:eastAsiaTheme="minorEastAsia" w:cs="Times New Roman"/>
          <w:bCs/>
          <w:color w:val="auto"/>
          <w:szCs w:val="24"/>
          <w:lang w:eastAsia="pl-PL"/>
        </w:rPr>
        <w:t xml:space="preserve"> </w:t>
      </w:r>
      <w:r w:rsidR="007C7D12" w:rsidRPr="00FC359D">
        <w:rPr>
          <w:rFonts w:eastAsiaTheme="minorEastAsia" w:cs="Times New Roman"/>
          <w:bCs/>
          <w:color w:val="auto"/>
          <w:szCs w:val="24"/>
          <w:lang w:eastAsia="pl-PL"/>
        </w:rPr>
        <w:t>z</w:t>
      </w:r>
      <w:r w:rsidR="0030765C" w:rsidRPr="00FC359D">
        <w:rPr>
          <w:rFonts w:eastAsiaTheme="minorEastAsia" w:cs="Times New Roman"/>
          <w:bCs/>
          <w:color w:val="auto"/>
          <w:szCs w:val="24"/>
          <w:lang w:eastAsia="pl-PL"/>
        </w:rPr>
        <w:t xml:space="preserve"> wymagań rozporządzenia Komisji (UE) nr 139/2014</w:t>
      </w:r>
      <w:r w:rsidR="0049519E" w:rsidRPr="00FC359D">
        <w:rPr>
          <w:rFonts w:eastAsiaTheme="minorEastAsia" w:cs="Times New Roman"/>
          <w:bCs/>
          <w:color w:val="auto"/>
          <w:szCs w:val="24"/>
          <w:lang w:eastAsia="pl-PL"/>
        </w:rPr>
        <w:t xml:space="preserve"> </w:t>
      </w:r>
      <w:r w:rsidR="00A0277E">
        <w:rPr>
          <w:rFonts w:eastAsiaTheme="minorEastAsia" w:cs="Times New Roman"/>
          <w:bCs/>
          <w:color w:val="auto"/>
          <w:szCs w:val="24"/>
          <w:lang w:eastAsia="pl-PL"/>
        </w:rPr>
        <w:t xml:space="preserve">z dnia 12 lutego 2014 r. </w:t>
      </w:r>
      <w:r w:rsidR="0049519E" w:rsidRPr="00FC359D">
        <w:rPr>
          <w:rFonts w:eastAsiaTheme="minorEastAsia" w:cs="Times New Roman"/>
          <w:bCs/>
          <w:color w:val="auto"/>
          <w:szCs w:val="24"/>
          <w:lang w:eastAsia="pl-PL"/>
        </w:rPr>
        <w:t xml:space="preserve">ustanawiającego wymagania oraz procedury administracyjne dotyczące lotnisk zgodnie z rozporządzeniem Parlamentu Europejskiego i Rady (WE) nr 216/2008 </w:t>
      </w:r>
      <w:r w:rsidR="008C5D5E" w:rsidRPr="008C5D5E">
        <w:rPr>
          <w:rFonts w:eastAsiaTheme="minorEastAsia" w:cs="Times New Roman"/>
          <w:bCs/>
          <w:color w:val="auto"/>
          <w:szCs w:val="24"/>
          <w:lang w:eastAsia="pl-PL"/>
        </w:rPr>
        <w:t xml:space="preserve">(Dz. Urz. UE L 44 z 14.02.2014, str. 1, z </w:t>
      </w:r>
      <w:proofErr w:type="spellStart"/>
      <w:r w:rsidR="008C5D5E" w:rsidRPr="008C5D5E">
        <w:rPr>
          <w:rFonts w:eastAsiaTheme="minorEastAsia" w:cs="Times New Roman"/>
          <w:bCs/>
          <w:color w:val="auto"/>
          <w:szCs w:val="24"/>
          <w:lang w:eastAsia="pl-PL"/>
        </w:rPr>
        <w:t>późn</w:t>
      </w:r>
      <w:proofErr w:type="spellEnd"/>
      <w:r w:rsidR="008C5D5E" w:rsidRPr="008C5D5E">
        <w:rPr>
          <w:rFonts w:eastAsiaTheme="minorEastAsia" w:cs="Times New Roman"/>
          <w:bCs/>
          <w:color w:val="auto"/>
          <w:szCs w:val="24"/>
          <w:lang w:eastAsia="pl-PL"/>
        </w:rPr>
        <w:t>. zm.</w:t>
      </w:r>
      <w:r w:rsidR="008C5D5E">
        <w:rPr>
          <w:rFonts w:eastAsiaTheme="minorEastAsia" w:cs="Times New Roman"/>
          <w:bCs/>
          <w:color w:val="auto"/>
          <w:szCs w:val="24"/>
          <w:lang w:eastAsia="pl-PL"/>
        </w:rPr>
        <w:t>)</w:t>
      </w:r>
      <w:r w:rsidR="008C5D5E" w:rsidRPr="008C5D5E">
        <w:rPr>
          <w:rFonts w:eastAsiaTheme="minorEastAsia" w:cs="Times New Roman"/>
          <w:bCs/>
          <w:color w:val="auto"/>
          <w:szCs w:val="24"/>
          <w:lang w:eastAsia="pl-PL"/>
        </w:rPr>
        <w:t xml:space="preserve"> </w:t>
      </w:r>
      <w:r w:rsidR="00020BC0">
        <w:rPr>
          <w:rFonts w:eastAsiaTheme="minorEastAsia" w:cs="Times New Roman"/>
          <w:bCs/>
          <w:color w:val="auto"/>
          <w:szCs w:val="24"/>
          <w:lang w:eastAsia="pl-PL"/>
        </w:rPr>
        <w:t>oraz zmian wynikających z </w:t>
      </w:r>
      <w:r w:rsidR="0049519E" w:rsidRPr="00FC359D">
        <w:rPr>
          <w:rFonts w:eastAsiaTheme="minorEastAsia" w:cs="Times New Roman"/>
          <w:bCs/>
          <w:color w:val="auto"/>
          <w:szCs w:val="24"/>
          <w:lang w:eastAsia="pl-PL"/>
        </w:rPr>
        <w:t xml:space="preserve">wymagań określonych w </w:t>
      </w:r>
      <w:r w:rsidR="00C93BBB">
        <w:rPr>
          <w:rFonts w:eastAsiaTheme="minorEastAsia" w:cs="Times New Roman"/>
          <w:bCs/>
          <w:color w:val="auto"/>
          <w:szCs w:val="24"/>
          <w:lang w:eastAsia="pl-PL"/>
        </w:rPr>
        <w:t>z</w:t>
      </w:r>
      <w:r w:rsidR="0049519E" w:rsidRPr="00FC359D">
        <w:rPr>
          <w:rFonts w:eastAsiaTheme="minorEastAsia" w:cs="Times New Roman"/>
          <w:bCs/>
          <w:color w:val="auto"/>
          <w:szCs w:val="24"/>
          <w:lang w:eastAsia="pl-PL"/>
        </w:rPr>
        <w:t>nowelizowanej ustaw</w:t>
      </w:r>
      <w:r w:rsidR="00C93BBB">
        <w:rPr>
          <w:rFonts w:eastAsiaTheme="minorEastAsia" w:cs="Times New Roman"/>
          <w:bCs/>
          <w:color w:val="auto"/>
          <w:szCs w:val="24"/>
          <w:lang w:eastAsia="pl-PL"/>
        </w:rPr>
        <w:t>ie</w:t>
      </w:r>
      <w:r w:rsidR="0049519E" w:rsidRPr="00FC359D">
        <w:rPr>
          <w:rFonts w:eastAsiaTheme="minorEastAsia" w:cs="Times New Roman"/>
          <w:bCs/>
          <w:color w:val="auto"/>
          <w:szCs w:val="24"/>
          <w:lang w:eastAsia="pl-PL"/>
        </w:rPr>
        <w:t xml:space="preserve"> z dnia 3 lipca 2002 r. </w:t>
      </w:r>
      <w:r w:rsidR="00D34E43" w:rsidRPr="00FC359D">
        <w:rPr>
          <w:rFonts w:eastAsiaTheme="minorEastAsia" w:cs="Times New Roman"/>
          <w:bCs/>
          <w:color w:val="auto"/>
          <w:szCs w:val="24"/>
          <w:lang w:eastAsia="pl-PL"/>
        </w:rPr>
        <w:t xml:space="preserve">– </w:t>
      </w:r>
      <w:r w:rsidR="0049519E" w:rsidRPr="00FC359D">
        <w:rPr>
          <w:rFonts w:eastAsiaTheme="minorEastAsia" w:cs="Times New Roman"/>
          <w:bCs/>
          <w:color w:val="auto"/>
          <w:szCs w:val="24"/>
          <w:lang w:eastAsia="pl-PL"/>
        </w:rPr>
        <w:t>Prawo lotnicze</w:t>
      </w:r>
      <w:r w:rsidR="008C5D5E">
        <w:rPr>
          <w:rFonts w:eastAsiaTheme="minorEastAsia" w:cs="Times New Roman"/>
          <w:bCs/>
          <w:color w:val="auto"/>
          <w:szCs w:val="24"/>
          <w:lang w:eastAsia="pl-PL"/>
        </w:rPr>
        <w:t xml:space="preserve"> (Dz.</w:t>
      </w:r>
      <w:r w:rsidR="00020BC0">
        <w:rPr>
          <w:rFonts w:eastAsiaTheme="minorEastAsia" w:cs="Times New Roman"/>
          <w:bCs/>
          <w:color w:val="auto"/>
          <w:szCs w:val="24"/>
          <w:lang w:eastAsia="pl-PL"/>
        </w:rPr>
        <w:t> </w:t>
      </w:r>
      <w:r w:rsidR="008C5D5E">
        <w:rPr>
          <w:rFonts w:eastAsiaTheme="minorEastAsia" w:cs="Times New Roman"/>
          <w:bCs/>
          <w:color w:val="auto"/>
          <w:szCs w:val="24"/>
          <w:lang w:eastAsia="pl-PL"/>
        </w:rPr>
        <w:t xml:space="preserve">U. z 2020 r. poz. 1970, z </w:t>
      </w:r>
      <w:proofErr w:type="spellStart"/>
      <w:r w:rsidR="008C5D5E">
        <w:rPr>
          <w:rFonts w:eastAsiaTheme="minorEastAsia" w:cs="Times New Roman"/>
          <w:bCs/>
          <w:color w:val="auto"/>
          <w:szCs w:val="24"/>
          <w:lang w:eastAsia="pl-PL"/>
        </w:rPr>
        <w:t>późn</w:t>
      </w:r>
      <w:proofErr w:type="spellEnd"/>
      <w:r w:rsidR="008C5D5E">
        <w:rPr>
          <w:rFonts w:eastAsiaTheme="minorEastAsia" w:cs="Times New Roman"/>
          <w:bCs/>
          <w:color w:val="auto"/>
          <w:szCs w:val="24"/>
          <w:lang w:eastAsia="pl-PL"/>
        </w:rPr>
        <w:t>. zm.), zwanej dalej „ustawą – Prawo lotnicze”</w:t>
      </w:r>
      <w:r w:rsidR="007C7D12" w:rsidRPr="00FC359D">
        <w:rPr>
          <w:rFonts w:eastAsiaTheme="minorEastAsia" w:cs="Times New Roman"/>
          <w:bCs/>
          <w:color w:val="auto"/>
          <w:szCs w:val="24"/>
          <w:lang w:eastAsia="pl-PL"/>
        </w:rPr>
        <w:t>.</w:t>
      </w:r>
    </w:p>
    <w:p w14:paraId="313361B4" w14:textId="38883006" w:rsidR="00D65ECA" w:rsidRPr="00FC359D" w:rsidRDefault="0062244D" w:rsidP="00D65ECA">
      <w:pPr>
        <w:spacing w:line="288" w:lineRule="auto"/>
        <w:rPr>
          <w:rFonts w:eastAsiaTheme="minorEastAsia" w:cs="Times New Roman"/>
          <w:bCs/>
          <w:color w:val="auto"/>
          <w:szCs w:val="24"/>
          <w:lang w:eastAsia="pl-PL"/>
        </w:rPr>
      </w:pPr>
      <w:r w:rsidRPr="00FC359D">
        <w:rPr>
          <w:rFonts w:eastAsiaTheme="minorEastAsia" w:cs="Times New Roman"/>
          <w:bCs/>
          <w:color w:val="auto"/>
          <w:szCs w:val="24"/>
          <w:lang w:eastAsia="pl-PL"/>
        </w:rPr>
        <w:t xml:space="preserve">Dodatkowo, zmiana </w:t>
      </w:r>
      <w:r w:rsidR="008C5D5E">
        <w:rPr>
          <w:rFonts w:eastAsiaTheme="minorEastAsia" w:cs="Times New Roman"/>
          <w:bCs/>
          <w:color w:val="auto"/>
          <w:szCs w:val="24"/>
          <w:lang w:eastAsia="pl-PL"/>
        </w:rPr>
        <w:t>obowiązującego</w:t>
      </w:r>
      <w:r w:rsidR="008C5D5E" w:rsidRPr="00FC359D">
        <w:rPr>
          <w:rFonts w:eastAsiaTheme="minorEastAsia" w:cs="Times New Roman"/>
          <w:bCs/>
          <w:color w:val="auto"/>
          <w:szCs w:val="24"/>
          <w:lang w:eastAsia="pl-PL"/>
        </w:rPr>
        <w:t xml:space="preserve"> </w:t>
      </w:r>
      <w:r w:rsidR="0030765C" w:rsidRPr="00FC359D">
        <w:rPr>
          <w:rFonts w:eastAsiaTheme="minorEastAsia" w:cs="Times New Roman"/>
          <w:bCs/>
          <w:color w:val="auto"/>
          <w:szCs w:val="24"/>
          <w:lang w:eastAsia="pl-PL"/>
        </w:rPr>
        <w:t xml:space="preserve">rozporządzenia </w:t>
      </w:r>
      <w:r w:rsidRPr="00FC359D">
        <w:rPr>
          <w:rFonts w:eastAsiaTheme="minorEastAsia" w:cs="Times New Roman"/>
          <w:bCs/>
          <w:color w:val="auto"/>
          <w:szCs w:val="24"/>
          <w:lang w:eastAsia="pl-PL"/>
        </w:rPr>
        <w:t xml:space="preserve">wynika z </w:t>
      </w:r>
      <w:r w:rsidR="00D65ECA" w:rsidRPr="00FC359D">
        <w:rPr>
          <w:rFonts w:eastAsiaTheme="minorEastAsia" w:cs="Times New Roman"/>
          <w:bCs/>
          <w:color w:val="auto"/>
          <w:szCs w:val="24"/>
          <w:lang w:eastAsia="pl-PL"/>
        </w:rPr>
        <w:t xml:space="preserve">konieczności realizacji działań </w:t>
      </w:r>
      <w:r w:rsidR="0049519E" w:rsidRPr="00FC359D">
        <w:rPr>
          <w:rFonts w:eastAsiaTheme="minorEastAsia" w:cs="Times New Roman"/>
          <w:bCs/>
          <w:color w:val="auto"/>
          <w:szCs w:val="24"/>
          <w:lang w:eastAsia="pl-PL"/>
        </w:rPr>
        <w:br/>
      </w:r>
      <w:r w:rsidR="00F51E11" w:rsidRPr="00FC359D">
        <w:rPr>
          <w:rFonts w:eastAsiaTheme="minorEastAsia" w:cs="Times New Roman"/>
          <w:bCs/>
          <w:color w:val="auto"/>
          <w:szCs w:val="24"/>
          <w:lang w:eastAsia="pl-PL"/>
        </w:rPr>
        <w:t xml:space="preserve">w zakresie zmian na lotnisku i oceny bezpieczeństwa w przypadku zmian na lotnisku, </w:t>
      </w:r>
      <w:r w:rsidR="00D65ECA" w:rsidRPr="00FC359D">
        <w:rPr>
          <w:rFonts w:eastAsiaTheme="minorEastAsia" w:cs="Times New Roman"/>
          <w:bCs/>
          <w:color w:val="auto"/>
          <w:szCs w:val="24"/>
          <w:lang w:eastAsia="pl-PL"/>
        </w:rPr>
        <w:t xml:space="preserve">określonych w Planie działań naprawczych (CAP – </w:t>
      </w:r>
      <w:proofErr w:type="spellStart"/>
      <w:r w:rsidR="00D65ECA" w:rsidRPr="00FC359D">
        <w:rPr>
          <w:rFonts w:eastAsiaTheme="minorEastAsia" w:cs="Times New Roman"/>
          <w:bCs/>
          <w:color w:val="auto"/>
          <w:szCs w:val="24"/>
          <w:lang w:eastAsia="pl-PL"/>
        </w:rPr>
        <w:t>Corrective</w:t>
      </w:r>
      <w:proofErr w:type="spellEnd"/>
      <w:r w:rsidR="00D65ECA" w:rsidRPr="00FC359D">
        <w:rPr>
          <w:rFonts w:eastAsiaTheme="minorEastAsia" w:cs="Times New Roman"/>
          <w:bCs/>
          <w:color w:val="auto"/>
          <w:szCs w:val="24"/>
          <w:lang w:eastAsia="pl-PL"/>
        </w:rPr>
        <w:t xml:space="preserve"> Action Plan pkt 8.171) </w:t>
      </w:r>
      <w:r w:rsidR="0049519E" w:rsidRPr="00FC359D">
        <w:rPr>
          <w:rFonts w:eastAsiaTheme="minorEastAsia" w:cs="Times New Roman"/>
          <w:bCs/>
          <w:color w:val="auto"/>
          <w:szCs w:val="24"/>
          <w:lang w:eastAsia="pl-PL"/>
        </w:rPr>
        <w:br/>
      </w:r>
      <w:r w:rsidR="00F51E11" w:rsidRPr="00FC359D">
        <w:rPr>
          <w:rFonts w:eastAsiaTheme="minorEastAsia" w:cs="Times New Roman"/>
          <w:bCs/>
          <w:color w:val="auto"/>
          <w:szCs w:val="24"/>
          <w:lang w:eastAsia="pl-PL"/>
        </w:rPr>
        <w:t>w</w:t>
      </w:r>
      <w:r w:rsidR="00F51E11" w:rsidRPr="00EE3C95">
        <w:rPr>
          <w:rFonts w:eastAsia="Calibri" w:cs="Times New Roman"/>
          <w:i/>
          <w:color w:val="auto"/>
          <w:szCs w:val="24"/>
        </w:rPr>
        <w:t xml:space="preserve"> </w:t>
      </w:r>
      <w:r w:rsidR="00F51E11" w:rsidRPr="00FC359D">
        <w:rPr>
          <w:rFonts w:eastAsiaTheme="minorEastAsia" w:cs="Times New Roman"/>
          <w:bCs/>
          <w:color w:val="auto"/>
          <w:szCs w:val="24"/>
          <w:lang w:eastAsia="pl-PL"/>
        </w:rPr>
        <w:t xml:space="preserve">następstwie audytu </w:t>
      </w:r>
      <w:r w:rsidR="00FE697D">
        <w:rPr>
          <w:rFonts w:eastAsiaTheme="minorEastAsia" w:cs="Times New Roman"/>
          <w:bCs/>
          <w:color w:val="auto"/>
          <w:szCs w:val="24"/>
          <w:lang w:eastAsia="pl-PL"/>
        </w:rPr>
        <w:t xml:space="preserve">Organizacji Międzynarodowego Lotnictwa Cywilnego </w:t>
      </w:r>
      <w:r w:rsidR="00F51E11" w:rsidRPr="00FC359D">
        <w:rPr>
          <w:rFonts w:eastAsiaTheme="minorEastAsia" w:cs="Times New Roman"/>
          <w:bCs/>
          <w:color w:val="auto"/>
          <w:szCs w:val="24"/>
          <w:lang w:eastAsia="pl-PL"/>
        </w:rPr>
        <w:t>ICAO USOAP CMA w 2018 r.</w:t>
      </w:r>
      <w:r w:rsidR="00305142" w:rsidRPr="00FC359D">
        <w:rPr>
          <w:rFonts w:eastAsiaTheme="minorEastAsia" w:cs="Times New Roman"/>
          <w:bCs/>
          <w:color w:val="auto"/>
          <w:szCs w:val="24"/>
          <w:lang w:eastAsia="pl-PL"/>
        </w:rPr>
        <w:t xml:space="preserve"> oraz </w:t>
      </w:r>
      <w:r w:rsidR="00305142" w:rsidRPr="00EE3C95">
        <w:rPr>
          <w:rFonts w:cs="Times New Roman"/>
          <w:szCs w:val="24"/>
        </w:rPr>
        <w:t>dostosowania przepisów uzależniających zmianę kategorii ochrony przeciwpożarowej lotniska od uzyskania zezwolenia Prezesa U</w:t>
      </w:r>
      <w:r w:rsidR="00FE697D">
        <w:rPr>
          <w:rFonts w:cs="Times New Roman"/>
          <w:szCs w:val="24"/>
        </w:rPr>
        <w:t xml:space="preserve">rzędu </w:t>
      </w:r>
      <w:r w:rsidR="00305142" w:rsidRPr="00EE3C95">
        <w:rPr>
          <w:rFonts w:cs="Times New Roman"/>
          <w:szCs w:val="24"/>
        </w:rPr>
        <w:t>L</w:t>
      </w:r>
      <w:r w:rsidR="00FE697D">
        <w:rPr>
          <w:rFonts w:cs="Times New Roman"/>
          <w:szCs w:val="24"/>
        </w:rPr>
        <w:t xml:space="preserve">otnictwa </w:t>
      </w:r>
      <w:r w:rsidR="00305142" w:rsidRPr="00EE3C95">
        <w:rPr>
          <w:rFonts w:cs="Times New Roman"/>
          <w:szCs w:val="24"/>
        </w:rPr>
        <w:t>C</w:t>
      </w:r>
      <w:r w:rsidR="00FE697D">
        <w:rPr>
          <w:rFonts w:cs="Times New Roman"/>
          <w:szCs w:val="24"/>
        </w:rPr>
        <w:t>ywilnego</w:t>
      </w:r>
      <w:r w:rsidR="00305142" w:rsidRPr="00EE3C95">
        <w:rPr>
          <w:rFonts w:cs="Times New Roman"/>
          <w:szCs w:val="24"/>
        </w:rPr>
        <w:t xml:space="preserve"> do obecnych warunków funkcjonowania lotnisk w sytuacji epidemiologicznej.</w:t>
      </w:r>
    </w:p>
    <w:p w14:paraId="1B37F5B5" w14:textId="09E1BFED" w:rsidR="0009689F" w:rsidRPr="00EE3C95" w:rsidRDefault="0009689F" w:rsidP="00FC359D">
      <w:pPr>
        <w:spacing w:line="288" w:lineRule="auto"/>
      </w:pPr>
    </w:p>
    <w:p w14:paraId="4CD9E6E3" w14:textId="1012F696" w:rsidR="0009689F" w:rsidRPr="00EE3C95" w:rsidRDefault="0009689F" w:rsidP="00C316D0">
      <w:pPr>
        <w:pStyle w:val="Nagwek2"/>
        <w:rPr>
          <w:rStyle w:val="Ppogrubienie"/>
          <w:szCs w:val="24"/>
        </w:rPr>
      </w:pPr>
      <w:r w:rsidRPr="00EE3C95">
        <w:rPr>
          <w:rStyle w:val="Ppogrubienie"/>
          <w:szCs w:val="24"/>
        </w:rPr>
        <w:t>II.</w:t>
      </w:r>
      <w:r w:rsidRPr="00EE3C95">
        <w:rPr>
          <w:rStyle w:val="Ppogrubienie"/>
          <w:szCs w:val="24"/>
        </w:rPr>
        <w:tab/>
        <w:t>Przedstawienie rzeczywistego (faktycznego) stanu w dziedzinie, która ma zostać uregulowana</w:t>
      </w:r>
    </w:p>
    <w:p w14:paraId="5E7B6CE7" w14:textId="46D364F9" w:rsidR="0009689F" w:rsidRPr="00B04DB2" w:rsidRDefault="007C7D12" w:rsidP="0049519E">
      <w:pPr>
        <w:rPr>
          <w:rFonts w:cs="Times New Roman"/>
          <w:szCs w:val="24"/>
          <w:lang w:eastAsia="pl-PL"/>
        </w:rPr>
      </w:pPr>
      <w:r w:rsidRPr="00EE3C95">
        <w:rPr>
          <w:rFonts w:cs="Times New Roman"/>
          <w:szCs w:val="24"/>
          <w:lang w:eastAsia="pl-PL"/>
        </w:rPr>
        <w:t xml:space="preserve">Obecne wymagania zawarte w rozporządzeniu </w:t>
      </w:r>
      <w:r w:rsidR="00D34E43" w:rsidRPr="00EE3C95">
        <w:rPr>
          <w:rFonts w:cs="Times New Roman"/>
          <w:szCs w:val="24"/>
          <w:lang w:eastAsia="pl-PL"/>
        </w:rPr>
        <w:t xml:space="preserve">wydanym na podstawie </w:t>
      </w:r>
      <w:r w:rsidRPr="00EE3C95">
        <w:rPr>
          <w:rFonts w:cs="Times New Roman"/>
          <w:szCs w:val="24"/>
          <w:lang w:eastAsia="pl-PL"/>
        </w:rPr>
        <w:t>art</w:t>
      </w:r>
      <w:r w:rsidR="00D34E43" w:rsidRPr="00EE3C95">
        <w:rPr>
          <w:rFonts w:cs="Times New Roman"/>
          <w:szCs w:val="24"/>
          <w:lang w:eastAsia="pl-PL"/>
        </w:rPr>
        <w:t>.</w:t>
      </w:r>
      <w:r w:rsidRPr="00EE3C95">
        <w:rPr>
          <w:rFonts w:cs="Times New Roman"/>
          <w:szCs w:val="24"/>
          <w:lang w:eastAsia="pl-PL"/>
        </w:rPr>
        <w:t xml:space="preserve"> 63 ustawy</w:t>
      </w:r>
      <w:r w:rsidR="008C5D5E">
        <w:rPr>
          <w:rFonts w:cs="Times New Roman"/>
          <w:szCs w:val="24"/>
          <w:lang w:eastAsia="pl-PL"/>
        </w:rPr>
        <w:t xml:space="preserve"> </w:t>
      </w:r>
      <w:r w:rsidR="00D34E43" w:rsidRPr="00EE3C95">
        <w:rPr>
          <w:rFonts w:cs="Times New Roman"/>
          <w:szCs w:val="24"/>
          <w:lang w:eastAsia="pl-PL"/>
        </w:rPr>
        <w:t xml:space="preserve">– </w:t>
      </w:r>
      <w:r w:rsidRPr="00EE3C95">
        <w:rPr>
          <w:rFonts w:cs="Times New Roman"/>
          <w:szCs w:val="24"/>
          <w:lang w:eastAsia="pl-PL"/>
        </w:rPr>
        <w:t xml:space="preserve">Prawo lotnicze określają szczegółowe zasady klasyfikacji lotnisk, szczegółowe warunki i tryb prowadzenia rejestru lotnisk </w:t>
      </w:r>
      <w:r w:rsidR="00EF1F8A">
        <w:rPr>
          <w:rFonts w:cs="Times New Roman"/>
          <w:szCs w:val="24"/>
          <w:lang w:eastAsia="pl-PL"/>
        </w:rPr>
        <w:t xml:space="preserve">cywilnych, zwanego dalej „rejestrem lotnisk” </w:t>
      </w:r>
      <w:r w:rsidRPr="00EE3C95">
        <w:rPr>
          <w:rFonts w:cs="Times New Roman"/>
          <w:szCs w:val="24"/>
          <w:lang w:eastAsia="pl-PL"/>
        </w:rPr>
        <w:t>– z uwzględnieniem wymagań dotyczących dokumentacji rejestrowej,</w:t>
      </w:r>
      <w:r w:rsidR="00C7732E" w:rsidRPr="008C2A27">
        <w:rPr>
          <w:rFonts w:cs="Times New Roman"/>
          <w:szCs w:val="24"/>
          <w:lang w:eastAsia="pl-PL"/>
        </w:rPr>
        <w:t xml:space="preserve"> </w:t>
      </w:r>
      <w:r w:rsidRPr="008C2A27">
        <w:rPr>
          <w:rFonts w:cs="Times New Roman"/>
          <w:szCs w:val="24"/>
          <w:lang w:eastAsia="pl-PL"/>
        </w:rPr>
        <w:t>wzór rejestru lotnisk, zmiany cech lotniska – uwzględniając podział na zmiany wymagające uzyskania zezwolenia Prezesa Urzędu Lotnictwa Cywilnego oraz podlegające tylko wpisowi do rejestru lotnisk</w:t>
      </w:r>
      <w:r w:rsidR="00D34E43" w:rsidRPr="00B04DB2">
        <w:rPr>
          <w:rFonts w:cs="Times New Roman"/>
          <w:szCs w:val="24"/>
          <w:lang w:eastAsia="pl-PL"/>
        </w:rPr>
        <w:t>,</w:t>
      </w:r>
      <w:r w:rsidRPr="00B04DB2">
        <w:rPr>
          <w:rFonts w:cs="Times New Roman"/>
          <w:szCs w:val="24"/>
          <w:lang w:eastAsia="pl-PL"/>
        </w:rPr>
        <w:t xml:space="preserve"> a także szczegółowe wymagania, jakie muszą spełnić zakładający lotniska</w:t>
      </w:r>
      <w:r w:rsidR="00D34E43" w:rsidRPr="00B04DB2">
        <w:rPr>
          <w:rFonts w:cs="Times New Roman"/>
          <w:szCs w:val="24"/>
          <w:lang w:eastAsia="pl-PL"/>
        </w:rPr>
        <w:t xml:space="preserve"> </w:t>
      </w:r>
      <w:r w:rsidRPr="00B04DB2">
        <w:rPr>
          <w:rFonts w:cs="Times New Roman"/>
          <w:szCs w:val="24"/>
          <w:lang w:eastAsia="pl-PL"/>
        </w:rPr>
        <w:t>i zarządzający lotniskami w zależności od klasyfikacji lotnisk.</w:t>
      </w:r>
    </w:p>
    <w:p w14:paraId="400DBCF9" w14:textId="05EF1F8C" w:rsidR="00C66540" w:rsidRPr="00B04DB2" w:rsidRDefault="00C66540" w:rsidP="0049519E">
      <w:pPr>
        <w:rPr>
          <w:rFonts w:cs="Times New Roman"/>
          <w:color w:val="808080" w:themeColor="background1" w:themeShade="80"/>
          <w:szCs w:val="24"/>
        </w:rPr>
      </w:pPr>
    </w:p>
    <w:p w14:paraId="6A177B3D" w14:textId="0D06C5D9" w:rsidR="0009689F" w:rsidRPr="00FC359D" w:rsidRDefault="0009689F" w:rsidP="00C316D0">
      <w:pPr>
        <w:pStyle w:val="Nagwek2"/>
        <w:rPr>
          <w:rStyle w:val="Ppogrubienie"/>
          <w:szCs w:val="24"/>
        </w:rPr>
      </w:pPr>
      <w:r w:rsidRPr="00B04DB2">
        <w:rPr>
          <w:rStyle w:val="Ppogrubienie"/>
          <w:szCs w:val="24"/>
        </w:rPr>
        <w:t>III.</w:t>
      </w:r>
      <w:r w:rsidRPr="00B04DB2">
        <w:rPr>
          <w:rStyle w:val="Ppogrubienie"/>
          <w:szCs w:val="24"/>
        </w:rPr>
        <w:tab/>
        <w:t>Wskazani</w:t>
      </w:r>
      <w:r w:rsidR="009757B7" w:rsidRPr="00B04DB2">
        <w:rPr>
          <w:rStyle w:val="Ppogrubienie"/>
          <w:szCs w:val="24"/>
        </w:rPr>
        <w:t>e</w:t>
      </w:r>
      <w:r w:rsidRPr="00B04DB2">
        <w:rPr>
          <w:rStyle w:val="Ppogrubienie"/>
          <w:szCs w:val="24"/>
        </w:rPr>
        <w:t xml:space="preserve"> różnic między dotychczasowym a projektowanym stanem prawnym</w:t>
      </w:r>
    </w:p>
    <w:p w14:paraId="21DFCABF" w14:textId="54FAC8D3" w:rsidR="0009689F" w:rsidRPr="00B04DB2" w:rsidRDefault="007C7D12">
      <w:pPr>
        <w:rPr>
          <w:rFonts w:cs="Times New Roman"/>
          <w:color w:val="auto"/>
          <w:szCs w:val="24"/>
        </w:rPr>
      </w:pPr>
      <w:r w:rsidRPr="008C2A27">
        <w:rPr>
          <w:rFonts w:cs="Times New Roman"/>
          <w:color w:val="auto"/>
          <w:szCs w:val="24"/>
        </w:rPr>
        <w:t>Wprowadz</w:t>
      </w:r>
      <w:r w:rsidR="008C5D5E">
        <w:rPr>
          <w:rFonts w:cs="Times New Roman"/>
          <w:color w:val="auto"/>
          <w:szCs w:val="24"/>
        </w:rPr>
        <w:t>a</w:t>
      </w:r>
      <w:r w:rsidRPr="008C2A27">
        <w:rPr>
          <w:rFonts w:cs="Times New Roman"/>
          <w:color w:val="auto"/>
          <w:szCs w:val="24"/>
        </w:rPr>
        <w:t xml:space="preserve">ne w projekcie nowe regulacje odnoszą się m. in. do kwestii związanych </w:t>
      </w:r>
      <w:r w:rsidR="0049519E" w:rsidRPr="00B04DB2">
        <w:rPr>
          <w:rFonts w:cs="Times New Roman"/>
          <w:color w:val="auto"/>
          <w:szCs w:val="24"/>
        </w:rPr>
        <w:br/>
      </w:r>
      <w:r w:rsidRPr="00B04DB2">
        <w:rPr>
          <w:rFonts w:cs="Times New Roman"/>
          <w:color w:val="auto"/>
          <w:szCs w:val="24"/>
        </w:rPr>
        <w:t xml:space="preserve">z klasyfikacją lotnisk, </w:t>
      </w:r>
      <w:r w:rsidR="00FC359D" w:rsidRPr="00B04DB2">
        <w:rPr>
          <w:rFonts w:cs="Times New Roman"/>
          <w:color w:val="auto"/>
          <w:szCs w:val="24"/>
        </w:rPr>
        <w:t>wy</w:t>
      </w:r>
      <w:r w:rsidR="00FC359D">
        <w:rPr>
          <w:rFonts w:cs="Times New Roman"/>
          <w:color w:val="auto"/>
          <w:szCs w:val="24"/>
        </w:rPr>
        <w:t>mogów</w:t>
      </w:r>
      <w:r w:rsidR="00FC359D" w:rsidRPr="00B04DB2">
        <w:rPr>
          <w:rFonts w:cs="Times New Roman"/>
          <w:color w:val="auto"/>
          <w:szCs w:val="24"/>
        </w:rPr>
        <w:t xml:space="preserve"> </w:t>
      </w:r>
      <w:r w:rsidRPr="00B04DB2">
        <w:rPr>
          <w:rFonts w:cs="Times New Roman"/>
          <w:color w:val="auto"/>
          <w:szCs w:val="24"/>
        </w:rPr>
        <w:t>w zakresie wzoru rejestru lotnisk</w:t>
      </w:r>
      <w:r w:rsidR="00D34E43" w:rsidRPr="00B04DB2">
        <w:rPr>
          <w:rFonts w:cs="Times New Roman"/>
          <w:color w:val="auto"/>
          <w:szCs w:val="24"/>
        </w:rPr>
        <w:t>,</w:t>
      </w:r>
      <w:r w:rsidRPr="00B04DB2">
        <w:rPr>
          <w:rFonts w:cs="Times New Roman"/>
          <w:color w:val="auto"/>
          <w:szCs w:val="24"/>
        </w:rPr>
        <w:t xml:space="preserve"> a także wymagań </w:t>
      </w:r>
      <w:r w:rsidR="0049519E" w:rsidRPr="00B04DB2">
        <w:rPr>
          <w:rFonts w:cs="Times New Roman"/>
          <w:color w:val="auto"/>
          <w:szCs w:val="24"/>
        </w:rPr>
        <w:br/>
      </w:r>
      <w:r w:rsidRPr="00B04DB2">
        <w:rPr>
          <w:rFonts w:cs="Times New Roman"/>
          <w:color w:val="auto"/>
          <w:szCs w:val="24"/>
        </w:rPr>
        <w:t>w zakresie przekazywania dokumentacji kartograficznej przez zakładających lotniska</w:t>
      </w:r>
      <w:r w:rsidR="008C5D5E" w:rsidRPr="008C5D5E">
        <w:rPr>
          <w:rFonts w:cs="Times New Roman"/>
          <w:color w:val="auto"/>
          <w:szCs w:val="24"/>
        </w:rPr>
        <w:t xml:space="preserve"> </w:t>
      </w:r>
      <w:r w:rsidR="008C5D5E">
        <w:rPr>
          <w:rFonts w:cs="Times New Roman"/>
          <w:color w:val="auto"/>
          <w:szCs w:val="24"/>
        </w:rPr>
        <w:t>i</w:t>
      </w:r>
      <w:r w:rsidR="00020BC0">
        <w:rPr>
          <w:rFonts w:cs="Times New Roman"/>
          <w:color w:val="auto"/>
          <w:szCs w:val="24"/>
        </w:rPr>
        <w:t> </w:t>
      </w:r>
      <w:r w:rsidR="008C5D5E" w:rsidRPr="00B04DB2">
        <w:rPr>
          <w:rFonts w:cs="Times New Roman"/>
          <w:color w:val="auto"/>
          <w:szCs w:val="24"/>
        </w:rPr>
        <w:t>zarządzających</w:t>
      </w:r>
      <w:r w:rsidR="008C5D5E">
        <w:rPr>
          <w:rFonts w:cs="Times New Roman"/>
          <w:color w:val="auto"/>
          <w:szCs w:val="24"/>
        </w:rPr>
        <w:t xml:space="preserve"> lotniskami</w:t>
      </w:r>
      <w:r w:rsidRPr="00B04DB2">
        <w:rPr>
          <w:rFonts w:cs="Times New Roman"/>
          <w:color w:val="auto"/>
          <w:szCs w:val="24"/>
        </w:rPr>
        <w:t>.</w:t>
      </w:r>
    </w:p>
    <w:p w14:paraId="730BFD18" w14:textId="6F9A8BB6" w:rsidR="001C1049" w:rsidRPr="00FC359D" w:rsidRDefault="00314687" w:rsidP="001C1049">
      <w:pPr>
        <w:pStyle w:val="NIEARTTEKSTtekstnieartykuowanynppodstprawnarozplubpreambua"/>
        <w:spacing w:before="0" w:after="120" w:line="288" w:lineRule="auto"/>
        <w:ind w:firstLine="0"/>
        <w:rPr>
          <w:rFonts w:ascii="Times New Roman" w:hAnsi="Times New Roman" w:cs="Times New Roman"/>
          <w:szCs w:val="24"/>
        </w:rPr>
      </w:pPr>
      <w:r w:rsidRPr="00FC359D">
        <w:rPr>
          <w:rFonts w:ascii="Times New Roman" w:hAnsi="Times New Roman" w:cs="Times New Roman"/>
          <w:szCs w:val="24"/>
        </w:rPr>
        <w:t xml:space="preserve">Niniejszy </w:t>
      </w:r>
      <w:r w:rsidR="001C1049" w:rsidRPr="00FC359D">
        <w:rPr>
          <w:rFonts w:ascii="Times New Roman" w:hAnsi="Times New Roman" w:cs="Times New Roman"/>
          <w:szCs w:val="24"/>
        </w:rPr>
        <w:t xml:space="preserve">projekt </w:t>
      </w:r>
      <w:r w:rsidRPr="00FC359D">
        <w:rPr>
          <w:rFonts w:ascii="Times New Roman" w:hAnsi="Times New Roman" w:cs="Times New Roman"/>
          <w:szCs w:val="24"/>
        </w:rPr>
        <w:t xml:space="preserve">przewiduje </w:t>
      </w:r>
      <w:r w:rsidR="001C1049" w:rsidRPr="00FC359D">
        <w:rPr>
          <w:rFonts w:ascii="Times New Roman" w:hAnsi="Times New Roman" w:cs="Times New Roman"/>
          <w:szCs w:val="24"/>
        </w:rPr>
        <w:t xml:space="preserve">następujące zmiany w </w:t>
      </w:r>
      <w:r w:rsidR="002F19D3" w:rsidRPr="00FC359D">
        <w:rPr>
          <w:rFonts w:ascii="Times New Roman" w:hAnsi="Times New Roman" w:cs="Times New Roman"/>
          <w:szCs w:val="24"/>
        </w:rPr>
        <w:t xml:space="preserve">obowiązującym </w:t>
      </w:r>
      <w:r w:rsidR="001C1049" w:rsidRPr="00FC359D">
        <w:rPr>
          <w:rFonts w:ascii="Times New Roman" w:hAnsi="Times New Roman" w:cs="Times New Roman"/>
          <w:szCs w:val="24"/>
        </w:rPr>
        <w:t>rozporządzeniu:</w:t>
      </w:r>
    </w:p>
    <w:p w14:paraId="2DF98931" w14:textId="206FF845" w:rsidR="003A5967" w:rsidRPr="00EE3C95" w:rsidRDefault="002D0763" w:rsidP="00C21C80">
      <w:pPr>
        <w:pStyle w:val="Akapitzlist"/>
        <w:widowControl/>
        <w:numPr>
          <w:ilvl w:val="0"/>
          <w:numId w:val="3"/>
        </w:numPr>
        <w:spacing w:after="160"/>
        <w:rPr>
          <w:sz w:val="24"/>
          <w:szCs w:val="24"/>
          <w:lang w:val="pl-PL"/>
        </w:rPr>
      </w:pPr>
      <w:bookmarkStart w:id="0" w:name="_Hlk87019054"/>
      <w:r w:rsidRPr="00EE3C95">
        <w:rPr>
          <w:sz w:val="24"/>
          <w:szCs w:val="24"/>
          <w:lang w:val="pl-PL"/>
        </w:rPr>
        <w:lastRenderedPageBreak/>
        <w:t xml:space="preserve">W </w:t>
      </w:r>
      <w:r w:rsidR="003A5967" w:rsidRPr="00EE3C95">
        <w:rPr>
          <w:sz w:val="24"/>
          <w:szCs w:val="24"/>
          <w:lang w:val="pl-PL"/>
        </w:rPr>
        <w:t xml:space="preserve">§ 2 pkt 2 lit. a </w:t>
      </w:r>
      <w:proofErr w:type="spellStart"/>
      <w:r w:rsidR="00B061D3">
        <w:rPr>
          <w:sz w:val="24"/>
          <w:szCs w:val="24"/>
          <w:lang w:val="pl-PL"/>
        </w:rPr>
        <w:t>tiret</w:t>
      </w:r>
      <w:proofErr w:type="spellEnd"/>
      <w:r w:rsidR="00B061D3">
        <w:rPr>
          <w:sz w:val="24"/>
          <w:szCs w:val="24"/>
          <w:lang w:val="pl-PL"/>
        </w:rPr>
        <w:t xml:space="preserve"> pierwsze </w:t>
      </w:r>
      <w:r w:rsidR="00690FC8">
        <w:rPr>
          <w:sz w:val="24"/>
          <w:szCs w:val="24"/>
          <w:lang w:val="pl-PL"/>
        </w:rPr>
        <w:t xml:space="preserve">podwójne </w:t>
      </w:r>
      <w:proofErr w:type="spellStart"/>
      <w:r w:rsidR="003A5967" w:rsidRPr="00EE3C95">
        <w:rPr>
          <w:sz w:val="24"/>
          <w:szCs w:val="24"/>
          <w:lang w:val="pl-PL"/>
        </w:rPr>
        <w:t>tiret</w:t>
      </w:r>
      <w:proofErr w:type="spellEnd"/>
      <w:r w:rsidR="003A5967" w:rsidRPr="00EE3C95">
        <w:rPr>
          <w:sz w:val="24"/>
          <w:szCs w:val="24"/>
          <w:lang w:val="pl-PL"/>
        </w:rPr>
        <w:t xml:space="preserve"> pierwsz</w:t>
      </w:r>
      <w:r w:rsidR="00875DC1" w:rsidRPr="00EE3C95">
        <w:rPr>
          <w:sz w:val="24"/>
          <w:szCs w:val="24"/>
          <w:lang w:val="pl-PL"/>
        </w:rPr>
        <w:t>e</w:t>
      </w:r>
      <w:r w:rsidR="003A5967" w:rsidRPr="00EE3C95">
        <w:rPr>
          <w:sz w:val="24"/>
          <w:szCs w:val="24"/>
          <w:lang w:val="pl-PL"/>
        </w:rPr>
        <w:t xml:space="preserve"> – w celu jednoznaczności zdefiniowania rodzaju lotniska użytku publicznego certyfikowanego</w:t>
      </w:r>
      <w:r w:rsidR="00C7732E" w:rsidRPr="00EE3C95">
        <w:rPr>
          <w:sz w:val="24"/>
          <w:szCs w:val="24"/>
          <w:lang w:val="pl-PL"/>
        </w:rPr>
        <w:t>,</w:t>
      </w:r>
      <w:r w:rsidR="003A5967" w:rsidRPr="00FC359D">
        <w:rPr>
          <w:sz w:val="24"/>
          <w:szCs w:val="24"/>
          <w:lang w:val="pl-PL"/>
        </w:rPr>
        <w:t xml:space="preserve"> </w:t>
      </w:r>
      <w:r w:rsidR="003A5967" w:rsidRPr="00EE3C95">
        <w:rPr>
          <w:sz w:val="24"/>
          <w:szCs w:val="24"/>
          <w:lang w:val="pl-PL"/>
        </w:rPr>
        <w:t xml:space="preserve">doprecyzowano </w:t>
      </w:r>
      <w:r w:rsidR="008C5D5E">
        <w:rPr>
          <w:sz w:val="24"/>
          <w:szCs w:val="24"/>
          <w:lang w:val="pl-PL"/>
        </w:rPr>
        <w:t>prze</w:t>
      </w:r>
      <w:r w:rsidR="003A5967" w:rsidRPr="00EE3C95">
        <w:rPr>
          <w:sz w:val="24"/>
          <w:szCs w:val="24"/>
          <w:lang w:val="pl-PL"/>
        </w:rPr>
        <w:t>pis</w:t>
      </w:r>
      <w:r w:rsidR="001B248E">
        <w:rPr>
          <w:sz w:val="24"/>
          <w:szCs w:val="24"/>
          <w:lang w:val="pl-PL"/>
        </w:rPr>
        <w:t xml:space="preserve"> przez wskazanie</w:t>
      </w:r>
      <w:r w:rsidR="003A5967" w:rsidRPr="00EE3C95">
        <w:rPr>
          <w:sz w:val="24"/>
          <w:szCs w:val="24"/>
          <w:lang w:val="pl-PL"/>
        </w:rPr>
        <w:t xml:space="preserve"> </w:t>
      </w:r>
      <w:r w:rsidR="00BA581B" w:rsidRPr="00EE3C95">
        <w:rPr>
          <w:sz w:val="24"/>
          <w:szCs w:val="24"/>
          <w:lang w:val="pl-PL"/>
        </w:rPr>
        <w:t xml:space="preserve">na </w:t>
      </w:r>
      <w:r w:rsidR="00C7732E" w:rsidRPr="00EE3C95">
        <w:rPr>
          <w:sz w:val="24"/>
          <w:szCs w:val="24"/>
          <w:lang w:val="pl-PL"/>
        </w:rPr>
        <w:t>podstaw</w:t>
      </w:r>
      <w:r w:rsidR="00BA581B" w:rsidRPr="00EE3C95">
        <w:rPr>
          <w:sz w:val="24"/>
          <w:szCs w:val="24"/>
          <w:lang w:val="pl-PL"/>
        </w:rPr>
        <w:t>ę prawną</w:t>
      </w:r>
      <w:r w:rsidR="00C7732E" w:rsidRPr="00EE3C95">
        <w:rPr>
          <w:sz w:val="24"/>
          <w:szCs w:val="24"/>
          <w:lang w:val="pl-PL"/>
        </w:rPr>
        <w:t xml:space="preserve"> wymagań certyfikacyjnych dla tego typu lotnisk </w:t>
      </w:r>
      <w:bookmarkEnd w:id="0"/>
      <w:r w:rsidR="001B248E">
        <w:rPr>
          <w:sz w:val="24"/>
          <w:szCs w:val="24"/>
          <w:lang w:val="pl-PL"/>
        </w:rPr>
        <w:t xml:space="preserve">na </w:t>
      </w:r>
      <w:r w:rsidR="003A5967" w:rsidRPr="00EE3C95">
        <w:rPr>
          <w:sz w:val="24"/>
          <w:szCs w:val="24"/>
          <w:lang w:val="pl-PL"/>
        </w:rPr>
        <w:t>przepis</w:t>
      </w:r>
      <w:r w:rsidR="00D34E43" w:rsidRPr="00EE3C95">
        <w:rPr>
          <w:sz w:val="24"/>
          <w:szCs w:val="24"/>
          <w:lang w:val="pl-PL"/>
        </w:rPr>
        <w:t>y</w:t>
      </w:r>
      <w:r w:rsidR="003A5967" w:rsidRPr="00EE3C95">
        <w:rPr>
          <w:sz w:val="24"/>
          <w:szCs w:val="24"/>
          <w:lang w:val="pl-PL"/>
        </w:rPr>
        <w:t xml:space="preserve"> wydan</w:t>
      </w:r>
      <w:r w:rsidR="00D34E43" w:rsidRPr="00EE3C95">
        <w:rPr>
          <w:sz w:val="24"/>
          <w:szCs w:val="24"/>
          <w:lang w:val="pl-PL"/>
        </w:rPr>
        <w:t>e</w:t>
      </w:r>
      <w:r w:rsidR="003A5967" w:rsidRPr="00EE3C95">
        <w:rPr>
          <w:sz w:val="24"/>
          <w:szCs w:val="24"/>
          <w:lang w:val="pl-PL"/>
        </w:rPr>
        <w:t xml:space="preserve"> na podstawie rozporządzenia </w:t>
      </w:r>
      <w:r w:rsidR="008E31F1">
        <w:rPr>
          <w:sz w:val="24"/>
          <w:szCs w:val="24"/>
          <w:lang w:val="pl-PL"/>
        </w:rPr>
        <w:t xml:space="preserve">Komisji </w:t>
      </w:r>
      <w:r w:rsidR="003A5967" w:rsidRPr="00EE3C95">
        <w:rPr>
          <w:sz w:val="24"/>
          <w:szCs w:val="24"/>
          <w:lang w:val="pl-PL"/>
        </w:rPr>
        <w:t>(UE) nr 139/2014</w:t>
      </w:r>
      <w:r w:rsidR="000C022B">
        <w:rPr>
          <w:sz w:val="24"/>
          <w:szCs w:val="24"/>
          <w:lang w:val="pl-PL"/>
        </w:rPr>
        <w:t xml:space="preserve"> </w:t>
      </w:r>
      <w:r w:rsidR="000C022B" w:rsidRPr="000C022B">
        <w:rPr>
          <w:sz w:val="24"/>
          <w:szCs w:val="24"/>
          <w:lang w:val="pl-PL"/>
        </w:rPr>
        <w:t>z dnia 12 lutego 2014 r. ustanawiając</w:t>
      </w:r>
      <w:r w:rsidR="00BE6A1F">
        <w:rPr>
          <w:sz w:val="24"/>
          <w:szCs w:val="24"/>
          <w:lang w:val="pl-PL"/>
        </w:rPr>
        <w:t>ego</w:t>
      </w:r>
      <w:r w:rsidR="000C022B" w:rsidRPr="000C022B">
        <w:rPr>
          <w:sz w:val="24"/>
          <w:szCs w:val="24"/>
          <w:lang w:val="pl-PL"/>
        </w:rPr>
        <w:t xml:space="preserve"> wymagania oraz procedury administracyjne dotyczące lotnisk zgodnie z rozporządzeniem Parlamentu Europejskiego i Rady (WE) nr 216/2008</w:t>
      </w:r>
      <w:r w:rsidR="00C6768A" w:rsidRPr="00EE3C95">
        <w:rPr>
          <w:sz w:val="24"/>
          <w:szCs w:val="24"/>
          <w:lang w:val="pl-PL"/>
        </w:rPr>
        <w:t>.</w:t>
      </w:r>
    </w:p>
    <w:p w14:paraId="0076C25D" w14:textId="0D36A409" w:rsidR="00BA581B" w:rsidRPr="00EE3C95" w:rsidRDefault="002D0763" w:rsidP="00DD3272">
      <w:pPr>
        <w:pStyle w:val="Akapitzlist"/>
        <w:widowControl/>
        <w:numPr>
          <w:ilvl w:val="0"/>
          <w:numId w:val="3"/>
        </w:numPr>
        <w:spacing w:after="160"/>
        <w:rPr>
          <w:sz w:val="24"/>
          <w:szCs w:val="24"/>
          <w:lang w:val="pl-PL"/>
        </w:rPr>
      </w:pPr>
      <w:r w:rsidRPr="00EE3C95">
        <w:rPr>
          <w:sz w:val="24"/>
          <w:szCs w:val="24"/>
          <w:lang w:val="pl-PL"/>
        </w:rPr>
        <w:t xml:space="preserve">W </w:t>
      </w:r>
      <w:r w:rsidR="00BA581B" w:rsidRPr="00EE3C95">
        <w:rPr>
          <w:sz w:val="24"/>
          <w:szCs w:val="24"/>
          <w:lang w:val="pl-PL"/>
        </w:rPr>
        <w:t xml:space="preserve">§ 2 pkt 2 lit. a </w:t>
      </w:r>
      <w:proofErr w:type="spellStart"/>
      <w:r w:rsidR="00B061D3">
        <w:rPr>
          <w:sz w:val="24"/>
          <w:szCs w:val="24"/>
          <w:lang w:val="pl-PL"/>
        </w:rPr>
        <w:t>tiret</w:t>
      </w:r>
      <w:proofErr w:type="spellEnd"/>
      <w:r w:rsidR="00B061D3">
        <w:rPr>
          <w:sz w:val="24"/>
          <w:szCs w:val="24"/>
          <w:lang w:val="pl-PL"/>
        </w:rPr>
        <w:t xml:space="preserve"> pierwsze </w:t>
      </w:r>
      <w:r w:rsidR="00690FC8">
        <w:rPr>
          <w:sz w:val="24"/>
          <w:szCs w:val="24"/>
          <w:lang w:val="pl-PL"/>
        </w:rPr>
        <w:t xml:space="preserve">podwójne </w:t>
      </w:r>
      <w:proofErr w:type="spellStart"/>
      <w:r w:rsidR="00BA581B" w:rsidRPr="00EE3C95">
        <w:rPr>
          <w:sz w:val="24"/>
          <w:szCs w:val="24"/>
          <w:lang w:val="pl-PL"/>
        </w:rPr>
        <w:t>tiret</w:t>
      </w:r>
      <w:proofErr w:type="spellEnd"/>
      <w:r w:rsidR="00BA581B" w:rsidRPr="00EE3C95">
        <w:rPr>
          <w:sz w:val="24"/>
          <w:szCs w:val="24"/>
          <w:lang w:val="pl-PL"/>
        </w:rPr>
        <w:t xml:space="preserve"> drug</w:t>
      </w:r>
      <w:r w:rsidR="00875DC1" w:rsidRPr="00EE3C95">
        <w:rPr>
          <w:sz w:val="24"/>
          <w:szCs w:val="24"/>
          <w:lang w:val="pl-PL"/>
        </w:rPr>
        <w:t xml:space="preserve">ie </w:t>
      </w:r>
      <w:r w:rsidR="00BA581B" w:rsidRPr="00EE3C95">
        <w:rPr>
          <w:sz w:val="24"/>
          <w:szCs w:val="24"/>
          <w:lang w:val="pl-PL"/>
        </w:rPr>
        <w:t xml:space="preserve">– w celu jednoznaczności zdefiniowania rodzaju lotniska użytku publicznego certyfikowanego, doprecyzowano </w:t>
      </w:r>
      <w:r w:rsidR="008C5D5E">
        <w:rPr>
          <w:sz w:val="24"/>
          <w:szCs w:val="24"/>
          <w:lang w:val="pl-PL"/>
        </w:rPr>
        <w:t>prze</w:t>
      </w:r>
      <w:r w:rsidR="00BA581B" w:rsidRPr="00EE3C95">
        <w:rPr>
          <w:sz w:val="24"/>
          <w:szCs w:val="24"/>
          <w:lang w:val="pl-PL"/>
        </w:rPr>
        <w:t>pis</w:t>
      </w:r>
      <w:r w:rsidR="001B248E">
        <w:rPr>
          <w:sz w:val="24"/>
          <w:szCs w:val="24"/>
          <w:lang w:val="pl-PL"/>
        </w:rPr>
        <w:t xml:space="preserve"> przez wskazanie </w:t>
      </w:r>
      <w:r w:rsidR="00BA581B" w:rsidRPr="00EE3C95">
        <w:rPr>
          <w:sz w:val="24"/>
          <w:szCs w:val="24"/>
          <w:lang w:val="pl-PL"/>
        </w:rPr>
        <w:t>na podstawę prawną wymagań certyfikacyjnych dla tego typu lotnisk</w:t>
      </w:r>
      <w:r w:rsidR="008C5D5E">
        <w:rPr>
          <w:sz w:val="24"/>
          <w:szCs w:val="24"/>
          <w:lang w:val="pl-PL"/>
        </w:rPr>
        <w:t>,</w:t>
      </w:r>
      <w:r w:rsidR="00BA581B" w:rsidRPr="00EE3C95">
        <w:rPr>
          <w:sz w:val="24"/>
          <w:szCs w:val="24"/>
          <w:lang w:val="pl-PL"/>
        </w:rPr>
        <w:t xml:space="preserve"> tj.</w:t>
      </w:r>
      <w:r w:rsidR="00BA581B" w:rsidRPr="00FC359D">
        <w:rPr>
          <w:sz w:val="24"/>
          <w:szCs w:val="24"/>
          <w:lang w:val="pl-PL"/>
        </w:rPr>
        <w:t xml:space="preserve"> </w:t>
      </w:r>
      <w:r w:rsidR="00875DC1" w:rsidRPr="00EE3C95">
        <w:rPr>
          <w:sz w:val="24"/>
          <w:szCs w:val="24"/>
          <w:lang w:val="pl-PL"/>
        </w:rPr>
        <w:t>przepis</w:t>
      </w:r>
      <w:r w:rsidR="008C5D5E">
        <w:rPr>
          <w:sz w:val="24"/>
          <w:szCs w:val="24"/>
          <w:lang w:val="pl-PL"/>
        </w:rPr>
        <w:t>y</w:t>
      </w:r>
      <w:r w:rsidR="00875DC1" w:rsidRPr="00EE3C95">
        <w:rPr>
          <w:sz w:val="24"/>
          <w:szCs w:val="24"/>
          <w:lang w:val="pl-PL"/>
        </w:rPr>
        <w:t xml:space="preserve"> wydan</w:t>
      </w:r>
      <w:r w:rsidR="008C5D5E">
        <w:rPr>
          <w:sz w:val="24"/>
          <w:szCs w:val="24"/>
          <w:lang w:val="pl-PL"/>
        </w:rPr>
        <w:t>e</w:t>
      </w:r>
      <w:r w:rsidR="00BA581B" w:rsidRPr="00EE3C95">
        <w:rPr>
          <w:sz w:val="24"/>
          <w:szCs w:val="24"/>
          <w:lang w:val="pl-PL"/>
        </w:rPr>
        <w:t xml:space="preserve"> na podstawie art. 59a ust. 5</w:t>
      </w:r>
      <w:r w:rsidR="001B248E">
        <w:rPr>
          <w:sz w:val="24"/>
          <w:szCs w:val="24"/>
          <w:lang w:val="pl-PL"/>
        </w:rPr>
        <w:t xml:space="preserve">, art. 83 ust. 1, art. 85 i art. 92 ust. 2 pkt 1 i 2 </w:t>
      </w:r>
      <w:r w:rsidR="00BA581B" w:rsidRPr="00EE3C95">
        <w:rPr>
          <w:sz w:val="24"/>
          <w:szCs w:val="24"/>
          <w:lang w:val="pl-PL"/>
        </w:rPr>
        <w:t>ustawy – Prawo lotnicze</w:t>
      </w:r>
      <w:r w:rsidR="0021178E" w:rsidRPr="00EE3C95">
        <w:rPr>
          <w:sz w:val="24"/>
          <w:szCs w:val="24"/>
          <w:lang w:val="pl-PL"/>
        </w:rPr>
        <w:t>.</w:t>
      </w:r>
    </w:p>
    <w:p w14:paraId="72BE548E" w14:textId="01A3BE14" w:rsidR="008939E9" w:rsidRPr="00EE3C95" w:rsidRDefault="008939E9" w:rsidP="008939E9">
      <w:pPr>
        <w:pStyle w:val="Akapitzlist"/>
        <w:widowControl/>
        <w:numPr>
          <w:ilvl w:val="0"/>
          <w:numId w:val="3"/>
        </w:numPr>
        <w:spacing w:after="160"/>
        <w:rPr>
          <w:sz w:val="24"/>
          <w:szCs w:val="24"/>
          <w:lang w:val="pl-PL"/>
        </w:rPr>
      </w:pPr>
      <w:r w:rsidRPr="00EE3C95">
        <w:rPr>
          <w:sz w:val="24"/>
          <w:szCs w:val="24"/>
          <w:lang w:val="pl-PL"/>
        </w:rPr>
        <w:t xml:space="preserve">W § 2 pkt 2 lit. a </w:t>
      </w:r>
      <w:proofErr w:type="spellStart"/>
      <w:r w:rsidRPr="00EE3C95">
        <w:rPr>
          <w:sz w:val="24"/>
          <w:szCs w:val="24"/>
          <w:lang w:val="pl-PL"/>
        </w:rPr>
        <w:t>tiret</w:t>
      </w:r>
      <w:proofErr w:type="spellEnd"/>
      <w:r w:rsidRPr="00EE3C95">
        <w:rPr>
          <w:sz w:val="24"/>
          <w:szCs w:val="24"/>
          <w:lang w:val="pl-PL"/>
        </w:rPr>
        <w:t xml:space="preserve"> </w:t>
      </w:r>
      <w:r w:rsidR="009314C3">
        <w:rPr>
          <w:sz w:val="24"/>
          <w:szCs w:val="24"/>
          <w:lang w:val="pl-PL"/>
        </w:rPr>
        <w:t>drugie</w:t>
      </w:r>
      <w:r w:rsidR="009E196E">
        <w:rPr>
          <w:sz w:val="24"/>
          <w:szCs w:val="24"/>
          <w:lang w:val="pl-PL"/>
        </w:rPr>
        <w:t>,</w:t>
      </w:r>
      <w:r w:rsidRPr="00EE3C95">
        <w:rPr>
          <w:sz w:val="24"/>
          <w:szCs w:val="24"/>
          <w:lang w:val="pl-PL"/>
        </w:rPr>
        <w:t xml:space="preserve"> w celu jednoznaczności zdefiniowania rodzaju lotniska użytku publicznego </w:t>
      </w:r>
      <w:r>
        <w:rPr>
          <w:sz w:val="24"/>
          <w:szCs w:val="24"/>
          <w:lang w:val="pl-PL"/>
        </w:rPr>
        <w:t>o ograniczonej certyfikacji</w:t>
      </w:r>
      <w:r w:rsidR="009E196E">
        <w:rPr>
          <w:sz w:val="24"/>
          <w:szCs w:val="24"/>
          <w:lang w:val="pl-PL"/>
        </w:rPr>
        <w:t>,</w:t>
      </w:r>
      <w:r>
        <w:rPr>
          <w:sz w:val="24"/>
          <w:szCs w:val="24"/>
          <w:lang w:val="pl-PL"/>
        </w:rPr>
        <w:t xml:space="preserve"> </w:t>
      </w:r>
      <w:r w:rsidRPr="00EE3C95">
        <w:rPr>
          <w:sz w:val="24"/>
          <w:szCs w:val="24"/>
          <w:lang w:val="pl-PL"/>
        </w:rPr>
        <w:t xml:space="preserve">doprecyzowano </w:t>
      </w:r>
      <w:r>
        <w:rPr>
          <w:sz w:val="24"/>
          <w:szCs w:val="24"/>
          <w:lang w:val="pl-PL"/>
        </w:rPr>
        <w:t>prze</w:t>
      </w:r>
      <w:r w:rsidRPr="00EE3C95">
        <w:rPr>
          <w:sz w:val="24"/>
          <w:szCs w:val="24"/>
          <w:lang w:val="pl-PL"/>
        </w:rPr>
        <w:t>pis</w:t>
      </w:r>
      <w:r>
        <w:rPr>
          <w:sz w:val="24"/>
          <w:szCs w:val="24"/>
          <w:lang w:val="pl-PL"/>
        </w:rPr>
        <w:t xml:space="preserve"> przez wskazanie </w:t>
      </w:r>
      <w:r w:rsidRPr="00EE3C95">
        <w:rPr>
          <w:sz w:val="24"/>
          <w:szCs w:val="24"/>
          <w:lang w:val="pl-PL"/>
        </w:rPr>
        <w:t>na podstawę prawną wymagań certyfikacyjnych dla tego typu lotnisk</w:t>
      </w:r>
      <w:r>
        <w:rPr>
          <w:sz w:val="24"/>
          <w:szCs w:val="24"/>
          <w:lang w:val="pl-PL"/>
        </w:rPr>
        <w:t>,</w:t>
      </w:r>
      <w:r w:rsidRPr="00EE3C95">
        <w:rPr>
          <w:sz w:val="24"/>
          <w:szCs w:val="24"/>
          <w:lang w:val="pl-PL"/>
        </w:rPr>
        <w:t xml:space="preserve"> tj.</w:t>
      </w:r>
      <w:r w:rsidRPr="00FC359D">
        <w:rPr>
          <w:sz w:val="24"/>
          <w:szCs w:val="24"/>
          <w:lang w:val="pl-PL"/>
        </w:rPr>
        <w:t xml:space="preserve"> </w:t>
      </w:r>
      <w:r w:rsidRPr="00EE3C95">
        <w:rPr>
          <w:sz w:val="24"/>
          <w:szCs w:val="24"/>
          <w:lang w:val="pl-PL"/>
        </w:rPr>
        <w:t>przepis</w:t>
      </w:r>
      <w:r>
        <w:rPr>
          <w:sz w:val="24"/>
          <w:szCs w:val="24"/>
          <w:lang w:val="pl-PL"/>
        </w:rPr>
        <w:t>y</w:t>
      </w:r>
      <w:r w:rsidRPr="00EE3C95">
        <w:rPr>
          <w:sz w:val="24"/>
          <w:szCs w:val="24"/>
          <w:lang w:val="pl-PL"/>
        </w:rPr>
        <w:t xml:space="preserve"> wydan</w:t>
      </w:r>
      <w:r>
        <w:rPr>
          <w:sz w:val="24"/>
          <w:szCs w:val="24"/>
          <w:lang w:val="pl-PL"/>
        </w:rPr>
        <w:t>e</w:t>
      </w:r>
      <w:r w:rsidRPr="00EE3C95">
        <w:rPr>
          <w:sz w:val="24"/>
          <w:szCs w:val="24"/>
          <w:lang w:val="pl-PL"/>
        </w:rPr>
        <w:t xml:space="preserve"> na podstawie art. 59a ust. 5</w:t>
      </w:r>
      <w:r>
        <w:rPr>
          <w:sz w:val="24"/>
          <w:szCs w:val="24"/>
          <w:lang w:val="pl-PL"/>
        </w:rPr>
        <w:t xml:space="preserve">, art. 83 ust. 1, art. 85 i art. 92 ust. 2 pkt 1 i 2 </w:t>
      </w:r>
      <w:r w:rsidRPr="00EE3C95">
        <w:rPr>
          <w:sz w:val="24"/>
          <w:szCs w:val="24"/>
          <w:lang w:val="pl-PL"/>
        </w:rPr>
        <w:t>ustawy – Prawo lotnicze.</w:t>
      </w:r>
    </w:p>
    <w:p w14:paraId="5910DFDC" w14:textId="335E5FDA" w:rsidR="00C21C80" w:rsidRPr="00EE3C95" w:rsidRDefault="002D0763" w:rsidP="00C21C80">
      <w:pPr>
        <w:pStyle w:val="Akapitzlist"/>
        <w:widowControl/>
        <w:numPr>
          <w:ilvl w:val="0"/>
          <w:numId w:val="3"/>
        </w:numPr>
        <w:spacing w:after="160"/>
        <w:rPr>
          <w:sz w:val="24"/>
          <w:szCs w:val="24"/>
          <w:lang w:val="pl-PL"/>
        </w:rPr>
      </w:pPr>
      <w:r w:rsidRPr="00EE3C95">
        <w:rPr>
          <w:sz w:val="24"/>
          <w:szCs w:val="24"/>
          <w:lang w:val="pl-PL"/>
        </w:rPr>
        <w:t xml:space="preserve">W </w:t>
      </w:r>
      <w:r w:rsidR="00C21C80" w:rsidRPr="00EE3C95">
        <w:rPr>
          <w:sz w:val="24"/>
          <w:szCs w:val="24"/>
          <w:lang w:val="pl-PL"/>
        </w:rPr>
        <w:t xml:space="preserve">§ 2 pkt 2 lit. a </w:t>
      </w:r>
      <w:proofErr w:type="spellStart"/>
      <w:r w:rsidR="00C21C80" w:rsidRPr="00EE3C95">
        <w:rPr>
          <w:sz w:val="24"/>
          <w:szCs w:val="24"/>
          <w:lang w:val="pl-PL"/>
        </w:rPr>
        <w:t>tiret</w:t>
      </w:r>
      <w:proofErr w:type="spellEnd"/>
      <w:r w:rsidR="00C21C80" w:rsidRPr="00EE3C95">
        <w:rPr>
          <w:sz w:val="24"/>
          <w:szCs w:val="24"/>
          <w:lang w:val="pl-PL"/>
        </w:rPr>
        <w:t xml:space="preserve"> </w:t>
      </w:r>
      <w:r w:rsidR="009314C3">
        <w:rPr>
          <w:sz w:val="24"/>
          <w:szCs w:val="24"/>
          <w:lang w:val="pl-PL"/>
        </w:rPr>
        <w:t>trzecie</w:t>
      </w:r>
      <w:r w:rsidR="00C21C80" w:rsidRPr="00EE3C95">
        <w:rPr>
          <w:sz w:val="24"/>
          <w:szCs w:val="24"/>
          <w:lang w:val="pl-PL"/>
        </w:rPr>
        <w:t xml:space="preserve"> – w celu jednoznaczności zdefiniowania rodzaju lotniska użytku publicznego niepodlegającego certyfikacji doprecyzowano </w:t>
      </w:r>
      <w:r w:rsidR="008C5D5E">
        <w:rPr>
          <w:sz w:val="24"/>
          <w:szCs w:val="24"/>
          <w:lang w:val="pl-PL"/>
        </w:rPr>
        <w:t>prze</w:t>
      </w:r>
      <w:r w:rsidR="00C21C80" w:rsidRPr="00EE3C95">
        <w:rPr>
          <w:sz w:val="24"/>
          <w:szCs w:val="24"/>
          <w:lang w:val="pl-PL"/>
        </w:rPr>
        <w:t xml:space="preserve">pis o podstawę prawną opartą o ustawę </w:t>
      </w:r>
      <w:r w:rsidRPr="00EE3C95">
        <w:rPr>
          <w:sz w:val="24"/>
          <w:szCs w:val="24"/>
          <w:lang w:val="pl-PL"/>
        </w:rPr>
        <w:t xml:space="preserve">– </w:t>
      </w:r>
      <w:r w:rsidR="00C21C80" w:rsidRPr="00EE3C95">
        <w:rPr>
          <w:sz w:val="24"/>
          <w:szCs w:val="24"/>
          <w:lang w:val="pl-PL"/>
        </w:rPr>
        <w:t>Prawo lotnicze, określającą wymagania dla tych lotnisk.</w:t>
      </w:r>
    </w:p>
    <w:p w14:paraId="0EFB88E2" w14:textId="46900526" w:rsidR="003C1210" w:rsidRPr="00EE3C95" w:rsidRDefault="002D0763" w:rsidP="008C5D5E">
      <w:pPr>
        <w:pStyle w:val="Akapitzlist"/>
        <w:widowControl/>
        <w:numPr>
          <w:ilvl w:val="0"/>
          <w:numId w:val="3"/>
        </w:numPr>
        <w:spacing w:after="160"/>
        <w:rPr>
          <w:sz w:val="24"/>
          <w:szCs w:val="24"/>
          <w:lang w:val="pl-PL"/>
        </w:rPr>
      </w:pPr>
      <w:r w:rsidRPr="00EE3C95">
        <w:rPr>
          <w:sz w:val="24"/>
          <w:szCs w:val="24"/>
          <w:lang w:val="pl-PL"/>
        </w:rPr>
        <w:t xml:space="preserve">W </w:t>
      </w:r>
      <w:r w:rsidR="00C21C80" w:rsidRPr="00EE3C95">
        <w:rPr>
          <w:sz w:val="24"/>
          <w:szCs w:val="24"/>
          <w:lang w:val="pl-PL"/>
        </w:rPr>
        <w:t xml:space="preserve">§ 3 pkt 3 został zaktualizowany </w:t>
      </w:r>
      <w:r w:rsidR="00F04D98" w:rsidRPr="00EE3C95">
        <w:rPr>
          <w:sz w:val="24"/>
          <w:szCs w:val="24"/>
          <w:lang w:val="pl-PL"/>
        </w:rPr>
        <w:t>przez wskazanie najnowszego</w:t>
      </w:r>
      <w:r w:rsidR="00C21C80" w:rsidRPr="00EE3C95">
        <w:rPr>
          <w:sz w:val="24"/>
          <w:szCs w:val="24"/>
          <w:lang w:val="pl-PL"/>
        </w:rPr>
        <w:t xml:space="preserve"> </w:t>
      </w:r>
      <w:r w:rsidR="003C1210" w:rsidRPr="00EE3C95">
        <w:rPr>
          <w:sz w:val="24"/>
          <w:szCs w:val="24"/>
          <w:lang w:val="pl-PL"/>
        </w:rPr>
        <w:t>obwieszczeni</w:t>
      </w:r>
      <w:r w:rsidR="00F04D98" w:rsidRPr="00EE3C95">
        <w:rPr>
          <w:sz w:val="24"/>
          <w:szCs w:val="24"/>
          <w:lang w:val="pl-PL"/>
        </w:rPr>
        <w:t>a</w:t>
      </w:r>
      <w:r w:rsidR="003C1210" w:rsidRPr="00EE3C95">
        <w:rPr>
          <w:sz w:val="24"/>
          <w:szCs w:val="24"/>
          <w:lang w:val="pl-PL"/>
        </w:rPr>
        <w:t xml:space="preserve"> </w:t>
      </w:r>
      <w:r w:rsidR="00C21C80" w:rsidRPr="00EE3C95">
        <w:rPr>
          <w:sz w:val="24"/>
          <w:szCs w:val="24"/>
          <w:lang w:val="pl-PL"/>
        </w:rPr>
        <w:t xml:space="preserve">Prezesa Urzędu Lotnictwa Cywilnego </w:t>
      </w:r>
      <w:r w:rsidR="00F04D98" w:rsidRPr="00EE3C95">
        <w:rPr>
          <w:sz w:val="24"/>
          <w:szCs w:val="24"/>
          <w:lang w:val="pl-PL"/>
        </w:rPr>
        <w:t>dotyczącego</w:t>
      </w:r>
      <w:r w:rsidR="00C21C80" w:rsidRPr="00EE3C95">
        <w:rPr>
          <w:sz w:val="24"/>
          <w:szCs w:val="24"/>
          <w:lang w:val="pl-PL"/>
        </w:rPr>
        <w:t xml:space="preserve"> </w:t>
      </w:r>
      <w:r w:rsidR="008C5D5E">
        <w:rPr>
          <w:sz w:val="24"/>
          <w:szCs w:val="24"/>
          <w:lang w:val="pl-PL"/>
        </w:rPr>
        <w:t xml:space="preserve">ogłoszenia </w:t>
      </w:r>
      <w:r w:rsidR="008C5D5E" w:rsidRPr="00EE3C95">
        <w:rPr>
          <w:sz w:val="24"/>
          <w:szCs w:val="24"/>
          <w:lang w:val="pl-PL"/>
        </w:rPr>
        <w:t>tom</w:t>
      </w:r>
      <w:r w:rsidR="008C5D5E">
        <w:rPr>
          <w:sz w:val="24"/>
          <w:szCs w:val="24"/>
          <w:lang w:val="pl-PL"/>
        </w:rPr>
        <w:t>u</w:t>
      </w:r>
      <w:r w:rsidR="008C5D5E" w:rsidRPr="00EE3C95">
        <w:rPr>
          <w:sz w:val="24"/>
          <w:szCs w:val="24"/>
          <w:lang w:val="pl-PL"/>
        </w:rPr>
        <w:t xml:space="preserve"> I </w:t>
      </w:r>
      <w:r w:rsidR="00C21C80" w:rsidRPr="00EE3C95">
        <w:rPr>
          <w:sz w:val="24"/>
          <w:szCs w:val="24"/>
          <w:lang w:val="pl-PL"/>
        </w:rPr>
        <w:t>Załącznika 14 do Konwencji o międzynarodowym lotnictwie cywilnym</w:t>
      </w:r>
      <w:r w:rsidR="008C5D5E">
        <w:rPr>
          <w:sz w:val="24"/>
          <w:szCs w:val="24"/>
          <w:lang w:val="pl-PL"/>
        </w:rPr>
        <w:t>,</w:t>
      </w:r>
      <w:r w:rsidR="008C5D5E" w:rsidRPr="00FC359D">
        <w:rPr>
          <w:lang w:val="pl-PL"/>
        </w:rPr>
        <w:t xml:space="preserve"> </w:t>
      </w:r>
      <w:r w:rsidR="008C5D5E" w:rsidRPr="008C5D5E">
        <w:rPr>
          <w:sz w:val="24"/>
          <w:szCs w:val="24"/>
          <w:lang w:val="pl-PL"/>
        </w:rPr>
        <w:t xml:space="preserve">sporządzonej w Chicago dnia 7 grudnia 1944 r. (Dz. U. z 1959 r. poz. 212 i 214, z </w:t>
      </w:r>
      <w:proofErr w:type="spellStart"/>
      <w:r w:rsidR="008C5D5E" w:rsidRPr="008C5D5E">
        <w:rPr>
          <w:sz w:val="24"/>
          <w:szCs w:val="24"/>
          <w:lang w:val="pl-PL"/>
        </w:rPr>
        <w:t>późn</w:t>
      </w:r>
      <w:proofErr w:type="spellEnd"/>
      <w:r w:rsidR="008C5D5E" w:rsidRPr="008C5D5E">
        <w:rPr>
          <w:sz w:val="24"/>
          <w:szCs w:val="24"/>
          <w:lang w:val="pl-PL"/>
        </w:rPr>
        <w:t>. zm.)</w:t>
      </w:r>
      <w:r w:rsidR="00C21C80" w:rsidRPr="00EE3C95">
        <w:rPr>
          <w:sz w:val="24"/>
          <w:szCs w:val="24"/>
          <w:lang w:val="pl-PL"/>
        </w:rPr>
        <w:t>.</w:t>
      </w:r>
      <w:bookmarkStart w:id="1" w:name="_Hlk79074883"/>
      <w:r w:rsidR="00A054CE" w:rsidRPr="00EE3C95" w:rsidDel="00F72BC3">
        <w:rPr>
          <w:sz w:val="24"/>
          <w:szCs w:val="24"/>
          <w:lang w:val="pl-PL"/>
        </w:rPr>
        <w:t xml:space="preserve"> </w:t>
      </w:r>
      <w:r w:rsidR="00F04D98" w:rsidRPr="00EE3C95">
        <w:rPr>
          <w:sz w:val="24"/>
          <w:szCs w:val="24"/>
          <w:lang w:val="pl-PL"/>
        </w:rPr>
        <w:t>W</w:t>
      </w:r>
      <w:r w:rsidR="00EB70F2" w:rsidRPr="00EE3C95">
        <w:rPr>
          <w:sz w:val="24"/>
          <w:szCs w:val="24"/>
          <w:lang w:val="pl-PL"/>
        </w:rPr>
        <w:t xml:space="preserve"> § 3 pkt 4 rozszerzono katalog podziału lotnisk w</w:t>
      </w:r>
      <w:r w:rsidR="008C5D5E">
        <w:rPr>
          <w:sz w:val="24"/>
          <w:szCs w:val="24"/>
          <w:lang w:val="pl-PL"/>
        </w:rPr>
        <w:t>edłu</w:t>
      </w:r>
      <w:r w:rsidR="00EB70F2" w:rsidRPr="00EE3C95">
        <w:rPr>
          <w:sz w:val="24"/>
          <w:szCs w:val="24"/>
          <w:lang w:val="pl-PL"/>
        </w:rPr>
        <w:t>g kryteriów technicznych ze względu na</w:t>
      </w:r>
      <w:r w:rsidR="00EB70F2" w:rsidRPr="00FC359D">
        <w:rPr>
          <w:sz w:val="24"/>
          <w:szCs w:val="24"/>
          <w:lang w:val="pl-PL"/>
        </w:rPr>
        <w:t xml:space="preserve"> </w:t>
      </w:r>
      <w:r w:rsidR="00EB70F2" w:rsidRPr="00EE3C95">
        <w:rPr>
          <w:sz w:val="24"/>
          <w:szCs w:val="24"/>
          <w:lang w:val="pl-PL"/>
        </w:rPr>
        <w:t xml:space="preserve">rodzaj przyjmowanych statków powietrznych dodając lit. c </w:t>
      </w:r>
      <w:r w:rsidR="008B65AA">
        <w:rPr>
          <w:sz w:val="24"/>
          <w:szCs w:val="24"/>
          <w:lang w:val="pl-PL"/>
        </w:rPr>
        <w:t xml:space="preserve">w brzmieniu </w:t>
      </w:r>
      <w:r w:rsidR="00EB70F2" w:rsidRPr="00EE3C95">
        <w:rPr>
          <w:sz w:val="24"/>
          <w:szCs w:val="24"/>
          <w:lang w:val="pl-PL"/>
        </w:rPr>
        <w:t xml:space="preserve">„dla samolotów </w:t>
      </w:r>
      <w:r w:rsidR="00F04D98" w:rsidRPr="00EE3C95">
        <w:rPr>
          <w:sz w:val="24"/>
          <w:szCs w:val="24"/>
          <w:lang w:val="pl-PL"/>
        </w:rPr>
        <w:t>i</w:t>
      </w:r>
      <w:r w:rsidR="00EB70F2" w:rsidRPr="00EE3C95">
        <w:rPr>
          <w:sz w:val="24"/>
          <w:szCs w:val="24"/>
          <w:lang w:val="pl-PL"/>
        </w:rPr>
        <w:t xml:space="preserve"> śmigłowców</w:t>
      </w:r>
      <w:r w:rsidR="009314C3">
        <w:rPr>
          <w:sz w:val="24"/>
          <w:szCs w:val="24"/>
          <w:lang w:val="pl-PL"/>
        </w:rPr>
        <w:t>.</w:t>
      </w:r>
      <w:r w:rsidR="00EB70F2" w:rsidRPr="00EE3C95">
        <w:rPr>
          <w:sz w:val="24"/>
          <w:szCs w:val="24"/>
          <w:lang w:val="pl-PL"/>
        </w:rPr>
        <w:t xml:space="preserve">” Powyższe rozszerzenie </w:t>
      </w:r>
      <w:r w:rsidR="008B65AA">
        <w:rPr>
          <w:sz w:val="24"/>
          <w:szCs w:val="24"/>
          <w:lang w:val="pl-PL"/>
        </w:rPr>
        <w:t xml:space="preserve">zostało </w:t>
      </w:r>
      <w:r w:rsidR="00F64D28">
        <w:rPr>
          <w:sz w:val="24"/>
          <w:szCs w:val="24"/>
          <w:lang w:val="pl-PL"/>
        </w:rPr>
        <w:t>wprowadzone w związku</w:t>
      </w:r>
      <w:r w:rsidR="00EB70F2" w:rsidRPr="00EE3C95">
        <w:rPr>
          <w:sz w:val="24"/>
          <w:szCs w:val="24"/>
          <w:lang w:val="pl-PL"/>
        </w:rPr>
        <w:t xml:space="preserve"> z </w:t>
      </w:r>
      <w:r w:rsidR="008B65AA">
        <w:rPr>
          <w:sz w:val="24"/>
          <w:szCs w:val="24"/>
          <w:lang w:val="pl-PL"/>
        </w:rPr>
        <w:t xml:space="preserve">pojawiającymi się </w:t>
      </w:r>
      <w:r w:rsidR="00EB70F2" w:rsidRPr="00EE3C95">
        <w:rPr>
          <w:sz w:val="24"/>
          <w:szCs w:val="24"/>
          <w:lang w:val="pl-PL"/>
        </w:rPr>
        <w:t>przypadk</w:t>
      </w:r>
      <w:r w:rsidR="00F64D28">
        <w:rPr>
          <w:sz w:val="24"/>
          <w:szCs w:val="24"/>
          <w:lang w:val="pl-PL"/>
        </w:rPr>
        <w:t>ami</w:t>
      </w:r>
      <w:r w:rsidR="00EB70F2" w:rsidRPr="00EE3C95">
        <w:rPr>
          <w:sz w:val="24"/>
          <w:szCs w:val="24"/>
          <w:lang w:val="pl-PL"/>
        </w:rPr>
        <w:t xml:space="preserve"> </w:t>
      </w:r>
      <w:r w:rsidR="001A1CF7">
        <w:rPr>
          <w:sz w:val="24"/>
          <w:szCs w:val="24"/>
          <w:lang w:val="pl-PL"/>
        </w:rPr>
        <w:t xml:space="preserve">konieczności </w:t>
      </w:r>
      <w:r w:rsidR="00EB70F2" w:rsidRPr="00EE3C95">
        <w:rPr>
          <w:sz w:val="24"/>
          <w:szCs w:val="24"/>
          <w:lang w:val="pl-PL"/>
        </w:rPr>
        <w:t>wydawania certyfikatów dla lotnisk dla samolotów</w:t>
      </w:r>
      <w:r w:rsidR="001A1CF7">
        <w:rPr>
          <w:sz w:val="24"/>
          <w:szCs w:val="24"/>
          <w:lang w:val="pl-PL"/>
        </w:rPr>
        <w:t>, na których zlokalizowane są również elementy lotniska dla śmigłowców</w:t>
      </w:r>
      <w:r w:rsidR="008367FF" w:rsidRPr="00EE3C95">
        <w:rPr>
          <w:sz w:val="24"/>
          <w:szCs w:val="24"/>
          <w:lang w:val="pl-PL"/>
        </w:rPr>
        <w:t>.</w:t>
      </w:r>
    </w:p>
    <w:bookmarkEnd w:id="1"/>
    <w:p w14:paraId="51ECC649" w14:textId="753B9B3A" w:rsidR="00C21C80" w:rsidRPr="00EE3C95" w:rsidRDefault="00D06C59" w:rsidP="00C21C80">
      <w:pPr>
        <w:pStyle w:val="Akapitzlist"/>
        <w:widowControl/>
        <w:numPr>
          <w:ilvl w:val="0"/>
          <w:numId w:val="3"/>
        </w:numPr>
        <w:spacing w:after="160"/>
        <w:rPr>
          <w:sz w:val="24"/>
          <w:szCs w:val="24"/>
          <w:lang w:val="pl-PL"/>
        </w:rPr>
      </w:pPr>
      <w:r w:rsidRPr="00EE3C95">
        <w:rPr>
          <w:sz w:val="24"/>
          <w:szCs w:val="24"/>
          <w:lang w:val="pl-PL"/>
        </w:rPr>
        <w:t>W</w:t>
      </w:r>
      <w:r w:rsidR="007C7D12" w:rsidRPr="00EE3C95">
        <w:rPr>
          <w:sz w:val="24"/>
          <w:szCs w:val="24"/>
          <w:lang w:val="pl-PL"/>
        </w:rPr>
        <w:t xml:space="preserve"> </w:t>
      </w:r>
      <w:r w:rsidR="00C21C80" w:rsidRPr="00EE3C95">
        <w:rPr>
          <w:sz w:val="24"/>
          <w:szCs w:val="24"/>
          <w:lang w:val="pl-PL"/>
        </w:rPr>
        <w:t xml:space="preserve">§ 4 ust. 4 pkt 3 </w:t>
      </w:r>
      <w:r w:rsidR="004D58F7">
        <w:rPr>
          <w:sz w:val="24"/>
          <w:szCs w:val="24"/>
          <w:lang w:val="pl-PL"/>
        </w:rPr>
        <w:t xml:space="preserve">we wprowadzeniu do wyliczenia </w:t>
      </w:r>
      <w:r w:rsidR="00C21C80" w:rsidRPr="00EE3C95">
        <w:rPr>
          <w:sz w:val="24"/>
          <w:szCs w:val="24"/>
          <w:lang w:val="pl-PL"/>
        </w:rPr>
        <w:t xml:space="preserve">zostało zweryfikowane zróżnicowanie danych dla dróg startowych oraz pasów dróg startowych ze względu na odmienność definicji i wymogów, jak również uwzględniono dane dotyczące stref końcowego podejścia i startu (FATO) lotnisk dla śmigłowców. </w:t>
      </w:r>
      <w:r w:rsidR="002842F2" w:rsidRPr="00EE3C95">
        <w:rPr>
          <w:sz w:val="24"/>
          <w:szCs w:val="24"/>
          <w:lang w:val="pl-PL"/>
        </w:rPr>
        <w:t xml:space="preserve">Ponadto w lit. i doprecyzowano zapis „nośności określonej przez liczbę klasyfikacyjną nawierzchni </w:t>
      </w:r>
      <w:r w:rsidR="00F73FD6">
        <w:rPr>
          <w:sz w:val="24"/>
          <w:szCs w:val="24"/>
          <w:lang w:val="pl-PL"/>
        </w:rPr>
        <w:t xml:space="preserve">– </w:t>
      </w:r>
      <w:r w:rsidR="002842F2" w:rsidRPr="00EE3C95">
        <w:rPr>
          <w:sz w:val="24"/>
          <w:szCs w:val="24"/>
          <w:lang w:val="pl-PL"/>
        </w:rPr>
        <w:t>PCN</w:t>
      </w:r>
      <w:r w:rsidR="00F73FD6">
        <w:rPr>
          <w:sz w:val="24"/>
          <w:szCs w:val="24"/>
          <w:lang w:val="pl-PL"/>
        </w:rPr>
        <w:t xml:space="preserve"> </w:t>
      </w:r>
      <w:r w:rsidR="00F73FD6" w:rsidRPr="00F73FD6">
        <w:rPr>
          <w:sz w:val="24"/>
          <w:szCs w:val="24"/>
          <w:lang w:val="pl-PL"/>
        </w:rPr>
        <w:t>(</w:t>
      </w:r>
      <w:proofErr w:type="spellStart"/>
      <w:r w:rsidR="00F73FD6" w:rsidRPr="00F73FD6">
        <w:rPr>
          <w:sz w:val="24"/>
          <w:szCs w:val="24"/>
          <w:lang w:val="pl-PL"/>
        </w:rPr>
        <w:t>Pavement</w:t>
      </w:r>
      <w:proofErr w:type="spellEnd"/>
      <w:r w:rsidR="00F73FD6" w:rsidRPr="00F73FD6">
        <w:rPr>
          <w:sz w:val="24"/>
          <w:szCs w:val="24"/>
          <w:lang w:val="pl-PL"/>
        </w:rPr>
        <w:t xml:space="preserve"> </w:t>
      </w:r>
      <w:proofErr w:type="spellStart"/>
      <w:r w:rsidR="00E952EF">
        <w:rPr>
          <w:sz w:val="24"/>
          <w:szCs w:val="24"/>
          <w:lang w:val="pl-PL"/>
        </w:rPr>
        <w:t>C</w:t>
      </w:r>
      <w:r w:rsidR="00F73FD6" w:rsidRPr="00F73FD6">
        <w:rPr>
          <w:sz w:val="24"/>
          <w:szCs w:val="24"/>
          <w:lang w:val="pl-PL"/>
        </w:rPr>
        <w:t>lassification</w:t>
      </w:r>
      <w:proofErr w:type="spellEnd"/>
      <w:r w:rsidR="00F73FD6" w:rsidRPr="00F73FD6">
        <w:rPr>
          <w:sz w:val="24"/>
          <w:szCs w:val="24"/>
          <w:lang w:val="pl-PL"/>
        </w:rPr>
        <w:t xml:space="preserve"> </w:t>
      </w:r>
      <w:proofErr w:type="spellStart"/>
      <w:r w:rsidR="00E952EF">
        <w:rPr>
          <w:sz w:val="24"/>
          <w:szCs w:val="24"/>
          <w:lang w:val="pl-PL"/>
        </w:rPr>
        <w:t>N</w:t>
      </w:r>
      <w:r w:rsidR="00F73FD6" w:rsidRPr="00F73FD6">
        <w:rPr>
          <w:sz w:val="24"/>
          <w:szCs w:val="24"/>
          <w:lang w:val="pl-PL"/>
        </w:rPr>
        <w:t>umber</w:t>
      </w:r>
      <w:proofErr w:type="spellEnd"/>
      <w:r w:rsidR="00F73FD6" w:rsidRPr="00F73FD6">
        <w:rPr>
          <w:sz w:val="24"/>
          <w:szCs w:val="24"/>
          <w:lang w:val="pl-PL"/>
        </w:rPr>
        <w:t>)</w:t>
      </w:r>
      <w:r w:rsidR="00F022B7" w:rsidRPr="00EE3C95">
        <w:rPr>
          <w:sz w:val="24"/>
          <w:szCs w:val="24"/>
          <w:lang w:val="pl-PL"/>
        </w:rPr>
        <w:t>” dodając:</w:t>
      </w:r>
      <w:r w:rsidR="002842F2" w:rsidRPr="00EE3C95">
        <w:rPr>
          <w:sz w:val="24"/>
          <w:szCs w:val="24"/>
          <w:lang w:val="pl-PL"/>
        </w:rPr>
        <w:t xml:space="preserve"> </w:t>
      </w:r>
      <w:r w:rsidR="00F022B7" w:rsidRPr="00EE3C95">
        <w:rPr>
          <w:sz w:val="24"/>
          <w:szCs w:val="24"/>
          <w:lang w:val="pl-PL"/>
        </w:rPr>
        <w:t>„</w:t>
      </w:r>
      <w:r w:rsidR="002842F2" w:rsidRPr="00EE3C95">
        <w:rPr>
          <w:sz w:val="24"/>
          <w:szCs w:val="24"/>
          <w:lang w:val="pl-PL"/>
        </w:rPr>
        <w:t xml:space="preserve">lub </w:t>
      </w:r>
      <w:r w:rsidR="00F73FD6" w:rsidRPr="00DE0418">
        <w:rPr>
          <w:sz w:val="24"/>
          <w:szCs w:val="24"/>
          <w:lang w:val="pl-PL"/>
        </w:rPr>
        <w:t xml:space="preserve">maksymalną masę startową </w:t>
      </w:r>
      <w:r w:rsidR="00F73FD6" w:rsidRPr="00DE0418">
        <w:rPr>
          <w:lang w:val="pl-PL"/>
        </w:rPr>
        <w:t>(</w:t>
      </w:r>
      <w:r w:rsidR="002842F2" w:rsidRPr="00EE3C95">
        <w:rPr>
          <w:sz w:val="24"/>
          <w:szCs w:val="24"/>
          <w:lang w:val="pl-PL"/>
        </w:rPr>
        <w:t>MTOM</w:t>
      </w:r>
      <w:r w:rsidR="00F73FD6">
        <w:rPr>
          <w:sz w:val="24"/>
          <w:szCs w:val="24"/>
          <w:lang w:val="pl-PL"/>
        </w:rPr>
        <w:t>)</w:t>
      </w:r>
      <w:r w:rsidR="00F022B7" w:rsidRPr="00EE3C95">
        <w:rPr>
          <w:sz w:val="24"/>
          <w:szCs w:val="24"/>
          <w:lang w:val="pl-PL"/>
        </w:rPr>
        <w:t>”</w:t>
      </w:r>
      <w:r w:rsidR="008367FF" w:rsidRPr="00EE3C95">
        <w:rPr>
          <w:sz w:val="24"/>
          <w:szCs w:val="24"/>
          <w:lang w:val="pl-PL"/>
        </w:rPr>
        <w:t>.</w:t>
      </w:r>
      <w:r w:rsidR="001A1CF7">
        <w:rPr>
          <w:sz w:val="24"/>
          <w:szCs w:val="24"/>
          <w:lang w:val="pl-PL"/>
        </w:rPr>
        <w:t xml:space="preserve"> Wynika to z faktu, że na lotniskach, na których nie została określona PCN wytrzymałość nawierzchni określa się według MTOM.</w:t>
      </w:r>
    </w:p>
    <w:p w14:paraId="037FB12B" w14:textId="1F3CF8E9" w:rsidR="00C21C80" w:rsidRPr="00EE3C95" w:rsidRDefault="00D06C59" w:rsidP="00C21C80">
      <w:pPr>
        <w:pStyle w:val="Akapitzlist"/>
        <w:widowControl/>
        <w:numPr>
          <w:ilvl w:val="0"/>
          <w:numId w:val="3"/>
        </w:numPr>
        <w:spacing w:after="160"/>
        <w:rPr>
          <w:sz w:val="24"/>
          <w:szCs w:val="24"/>
          <w:lang w:val="pl-PL"/>
        </w:rPr>
      </w:pPr>
      <w:r w:rsidRPr="00EE3C95">
        <w:rPr>
          <w:sz w:val="24"/>
          <w:szCs w:val="24"/>
          <w:lang w:val="pl-PL"/>
        </w:rPr>
        <w:t>W</w:t>
      </w:r>
      <w:r w:rsidR="007C7D12" w:rsidRPr="00EE3C95">
        <w:rPr>
          <w:sz w:val="24"/>
          <w:szCs w:val="24"/>
          <w:lang w:val="pl-PL"/>
        </w:rPr>
        <w:t xml:space="preserve"> </w:t>
      </w:r>
      <w:r w:rsidR="00C21C80" w:rsidRPr="00EE3C95">
        <w:rPr>
          <w:sz w:val="24"/>
          <w:szCs w:val="24"/>
          <w:lang w:val="pl-PL"/>
        </w:rPr>
        <w:t xml:space="preserve">§ 4 ust. 4 pkt 6 </w:t>
      </w:r>
      <w:r w:rsidR="0066741D">
        <w:rPr>
          <w:sz w:val="24"/>
          <w:szCs w:val="24"/>
          <w:lang w:val="pl-PL"/>
        </w:rPr>
        <w:t>zmieniono brzmienie</w:t>
      </w:r>
      <w:r w:rsidR="00C21C80" w:rsidRPr="00EE3C95">
        <w:rPr>
          <w:sz w:val="24"/>
          <w:szCs w:val="24"/>
          <w:lang w:val="pl-PL"/>
        </w:rPr>
        <w:t xml:space="preserve"> lit. </w:t>
      </w:r>
      <w:r w:rsidR="0066741D">
        <w:rPr>
          <w:sz w:val="24"/>
          <w:szCs w:val="24"/>
          <w:lang w:val="pl-PL"/>
        </w:rPr>
        <w:t>f</w:t>
      </w:r>
      <w:r w:rsidR="0066741D" w:rsidRPr="00EE3C95">
        <w:rPr>
          <w:sz w:val="24"/>
          <w:szCs w:val="24"/>
          <w:lang w:val="pl-PL"/>
        </w:rPr>
        <w:t xml:space="preserve"> </w:t>
      </w:r>
      <w:r w:rsidR="00C21C80" w:rsidRPr="00EE3C95">
        <w:rPr>
          <w:sz w:val="24"/>
          <w:szCs w:val="24"/>
          <w:lang w:val="pl-PL"/>
        </w:rPr>
        <w:t>dotycząc</w:t>
      </w:r>
      <w:r w:rsidR="00FC359D">
        <w:rPr>
          <w:sz w:val="24"/>
          <w:szCs w:val="24"/>
          <w:lang w:val="pl-PL"/>
        </w:rPr>
        <w:t>ej</w:t>
      </w:r>
      <w:r w:rsidR="00C21C80" w:rsidRPr="00EE3C95">
        <w:rPr>
          <w:sz w:val="24"/>
          <w:szCs w:val="24"/>
          <w:lang w:val="pl-PL"/>
        </w:rPr>
        <w:t xml:space="preserve"> </w:t>
      </w:r>
      <w:r w:rsidR="0066741D" w:rsidRPr="0066741D">
        <w:rPr>
          <w:sz w:val="24"/>
          <w:szCs w:val="24"/>
          <w:lang w:val="pl-PL"/>
        </w:rPr>
        <w:t>wysokości obiektu nad poziom morza, określon</w:t>
      </w:r>
      <w:r w:rsidR="00FC359D">
        <w:rPr>
          <w:sz w:val="24"/>
          <w:szCs w:val="24"/>
          <w:lang w:val="pl-PL"/>
        </w:rPr>
        <w:t>ej</w:t>
      </w:r>
      <w:r w:rsidR="0066741D" w:rsidRPr="0066741D">
        <w:rPr>
          <w:sz w:val="24"/>
          <w:szCs w:val="24"/>
          <w:lang w:val="pl-PL"/>
        </w:rPr>
        <w:t xml:space="preserve"> w metrach</w:t>
      </w:r>
      <w:r w:rsidR="00C21C80" w:rsidRPr="00EE3C95">
        <w:rPr>
          <w:sz w:val="24"/>
          <w:szCs w:val="24"/>
          <w:lang w:val="pl-PL"/>
        </w:rPr>
        <w:t>,</w:t>
      </w:r>
      <w:r w:rsidR="00FC359D">
        <w:rPr>
          <w:sz w:val="24"/>
          <w:szCs w:val="24"/>
          <w:lang w:val="pl-PL"/>
        </w:rPr>
        <w:t xml:space="preserve"> uzupełniając ją o wysokość obiektu nad poziomem terenu </w:t>
      </w:r>
      <w:r w:rsidR="00C21C80" w:rsidRPr="00EE3C95">
        <w:rPr>
          <w:sz w:val="24"/>
          <w:szCs w:val="24"/>
          <w:lang w:val="pl-PL"/>
        </w:rPr>
        <w:t xml:space="preserve">jako </w:t>
      </w:r>
      <w:r w:rsidR="003C1210" w:rsidRPr="00EE3C95">
        <w:rPr>
          <w:sz w:val="24"/>
          <w:szCs w:val="24"/>
          <w:lang w:val="pl-PL"/>
        </w:rPr>
        <w:t>informacj</w:t>
      </w:r>
      <w:r w:rsidR="00E952EF">
        <w:rPr>
          <w:sz w:val="24"/>
          <w:szCs w:val="24"/>
          <w:lang w:val="pl-PL"/>
        </w:rPr>
        <w:t>ę</w:t>
      </w:r>
      <w:r w:rsidR="003C1210" w:rsidRPr="00EE3C95">
        <w:rPr>
          <w:sz w:val="24"/>
          <w:szCs w:val="24"/>
          <w:lang w:val="pl-PL"/>
        </w:rPr>
        <w:t xml:space="preserve"> </w:t>
      </w:r>
      <w:r w:rsidR="00C21C80" w:rsidRPr="00EE3C95">
        <w:rPr>
          <w:sz w:val="24"/>
          <w:szCs w:val="24"/>
          <w:lang w:val="pl-PL"/>
        </w:rPr>
        <w:t>niezbędn</w:t>
      </w:r>
      <w:r w:rsidR="00E952EF">
        <w:rPr>
          <w:sz w:val="24"/>
          <w:szCs w:val="24"/>
          <w:lang w:val="pl-PL"/>
        </w:rPr>
        <w:t>ą</w:t>
      </w:r>
      <w:r w:rsidR="00C21C80" w:rsidRPr="00EE3C95">
        <w:rPr>
          <w:sz w:val="24"/>
          <w:szCs w:val="24"/>
          <w:lang w:val="pl-PL"/>
        </w:rPr>
        <w:t xml:space="preserve"> do analizy parametrów obiektów występujących na terenie lotniska.</w:t>
      </w:r>
    </w:p>
    <w:p w14:paraId="7EEECF1F" w14:textId="50352009" w:rsidR="00A21C3E" w:rsidRPr="00EE3C95" w:rsidRDefault="00D06C59" w:rsidP="008C5D5E">
      <w:pPr>
        <w:pStyle w:val="Akapitzlist"/>
        <w:widowControl/>
        <w:numPr>
          <w:ilvl w:val="0"/>
          <w:numId w:val="3"/>
        </w:numPr>
        <w:spacing w:after="160"/>
        <w:rPr>
          <w:sz w:val="24"/>
          <w:szCs w:val="24"/>
          <w:lang w:val="pl-PL"/>
        </w:rPr>
      </w:pPr>
      <w:r w:rsidRPr="00EE3C95">
        <w:rPr>
          <w:sz w:val="24"/>
          <w:szCs w:val="24"/>
          <w:lang w:val="pl-PL"/>
        </w:rPr>
        <w:t>W</w:t>
      </w:r>
      <w:r w:rsidR="00A21C3E" w:rsidRPr="00EE3C95">
        <w:rPr>
          <w:sz w:val="24"/>
          <w:szCs w:val="24"/>
          <w:lang w:val="pl-PL"/>
        </w:rPr>
        <w:t xml:space="preserve"> § 4 ust. 4 wykreślono cały pkt 9 dotyczący ewidencji zmian eksploatacyjnych i</w:t>
      </w:r>
      <w:r w:rsidR="00020BC0">
        <w:rPr>
          <w:sz w:val="24"/>
          <w:szCs w:val="24"/>
          <w:lang w:val="pl-PL"/>
        </w:rPr>
        <w:t> </w:t>
      </w:r>
      <w:r w:rsidR="00A21C3E" w:rsidRPr="00EE3C95">
        <w:rPr>
          <w:sz w:val="24"/>
          <w:szCs w:val="24"/>
          <w:lang w:val="pl-PL"/>
        </w:rPr>
        <w:t xml:space="preserve">technicznych cech lotniska, </w:t>
      </w:r>
      <w:r w:rsidR="006E3707" w:rsidRPr="00EE3C95">
        <w:rPr>
          <w:sz w:val="24"/>
          <w:szCs w:val="24"/>
          <w:lang w:val="pl-PL"/>
        </w:rPr>
        <w:t xml:space="preserve">stanowiącej informację zdublowaną w </w:t>
      </w:r>
      <w:r w:rsidR="008755D9">
        <w:rPr>
          <w:sz w:val="24"/>
          <w:szCs w:val="24"/>
          <w:lang w:val="pl-PL"/>
        </w:rPr>
        <w:t>t</w:t>
      </w:r>
      <w:r w:rsidR="00A21C3E" w:rsidRPr="00EE3C95">
        <w:rPr>
          <w:sz w:val="24"/>
          <w:szCs w:val="24"/>
          <w:lang w:val="pl-PL"/>
        </w:rPr>
        <w:t>eczce rejestracyjnej lotniska.</w:t>
      </w:r>
      <w:r w:rsidR="008C7C28" w:rsidRPr="00EE3C95">
        <w:rPr>
          <w:sz w:val="24"/>
          <w:szCs w:val="24"/>
          <w:lang w:val="pl-PL"/>
        </w:rPr>
        <w:t xml:space="preserve"> W zależności od rodzaju</w:t>
      </w:r>
      <w:r w:rsidR="00F23142" w:rsidRPr="00EE3C95">
        <w:rPr>
          <w:sz w:val="24"/>
          <w:szCs w:val="24"/>
          <w:lang w:val="pl-PL"/>
        </w:rPr>
        <w:t>,</w:t>
      </w:r>
      <w:r w:rsidR="008C7C28" w:rsidRPr="00EE3C95">
        <w:rPr>
          <w:sz w:val="24"/>
          <w:szCs w:val="24"/>
          <w:lang w:val="pl-PL"/>
        </w:rPr>
        <w:t xml:space="preserve"> zmiany </w:t>
      </w:r>
      <w:r w:rsidR="00F23142" w:rsidRPr="00EE3C95">
        <w:rPr>
          <w:sz w:val="24"/>
          <w:szCs w:val="24"/>
          <w:lang w:val="pl-PL"/>
        </w:rPr>
        <w:t xml:space="preserve">są rejestrowane </w:t>
      </w:r>
      <w:r w:rsidR="00F23142" w:rsidRPr="00EE3C95">
        <w:rPr>
          <w:sz w:val="24"/>
          <w:szCs w:val="24"/>
          <w:lang w:val="pl-PL"/>
        </w:rPr>
        <w:lastRenderedPageBreak/>
        <w:t>w</w:t>
      </w:r>
      <w:r w:rsidR="00020BC0">
        <w:rPr>
          <w:sz w:val="24"/>
          <w:szCs w:val="24"/>
          <w:lang w:val="pl-PL"/>
        </w:rPr>
        <w:t> </w:t>
      </w:r>
      <w:r w:rsidR="006E3707" w:rsidRPr="00EE3C95">
        <w:rPr>
          <w:sz w:val="24"/>
          <w:szCs w:val="24"/>
          <w:lang w:val="pl-PL"/>
        </w:rPr>
        <w:t>odpowiedniej części</w:t>
      </w:r>
      <w:r w:rsidR="00F23142" w:rsidRPr="00EE3C95">
        <w:rPr>
          <w:sz w:val="24"/>
          <w:szCs w:val="24"/>
          <w:lang w:val="pl-PL"/>
        </w:rPr>
        <w:t xml:space="preserve"> </w:t>
      </w:r>
      <w:r w:rsidRPr="00EE3C95">
        <w:rPr>
          <w:sz w:val="24"/>
          <w:szCs w:val="24"/>
          <w:lang w:val="pl-PL"/>
        </w:rPr>
        <w:t>r</w:t>
      </w:r>
      <w:r w:rsidR="006E3707" w:rsidRPr="00EE3C95">
        <w:rPr>
          <w:sz w:val="24"/>
          <w:szCs w:val="24"/>
          <w:lang w:val="pl-PL"/>
        </w:rPr>
        <w:t xml:space="preserve">ejestru </w:t>
      </w:r>
      <w:r w:rsidRPr="00EE3C95">
        <w:rPr>
          <w:sz w:val="24"/>
          <w:szCs w:val="24"/>
          <w:lang w:val="pl-PL"/>
        </w:rPr>
        <w:t>l</w:t>
      </w:r>
      <w:r w:rsidR="006E3707" w:rsidRPr="00EE3C95">
        <w:rPr>
          <w:sz w:val="24"/>
          <w:szCs w:val="24"/>
          <w:lang w:val="pl-PL"/>
        </w:rPr>
        <w:t xml:space="preserve">otnisk: </w:t>
      </w:r>
      <w:r w:rsidR="00F23142" w:rsidRPr="00EE3C95">
        <w:rPr>
          <w:sz w:val="24"/>
          <w:szCs w:val="24"/>
          <w:lang w:val="pl-PL"/>
        </w:rPr>
        <w:t xml:space="preserve">części kartograficznej </w:t>
      </w:r>
      <w:r w:rsidR="00E01D70" w:rsidRPr="00EE3C95">
        <w:rPr>
          <w:sz w:val="24"/>
          <w:szCs w:val="24"/>
          <w:lang w:val="pl-PL"/>
        </w:rPr>
        <w:t xml:space="preserve">lub </w:t>
      </w:r>
      <w:r w:rsidR="00BA17AA" w:rsidRPr="00EE3C95">
        <w:rPr>
          <w:sz w:val="24"/>
          <w:szCs w:val="24"/>
          <w:lang w:val="pl-PL"/>
        </w:rPr>
        <w:t xml:space="preserve">w </w:t>
      </w:r>
      <w:r w:rsidR="002940E1" w:rsidRPr="00EE3C95">
        <w:rPr>
          <w:sz w:val="24"/>
          <w:szCs w:val="24"/>
          <w:lang w:val="pl-PL"/>
        </w:rPr>
        <w:t xml:space="preserve">odpowiednich częściach </w:t>
      </w:r>
      <w:r w:rsidR="008755D9">
        <w:rPr>
          <w:sz w:val="24"/>
          <w:szCs w:val="24"/>
          <w:lang w:val="pl-PL"/>
        </w:rPr>
        <w:t>t</w:t>
      </w:r>
      <w:r w:rsidR="00F23142" w:rsidRPr="00EE3C95">
        <w:rPr>
          <w:sz w:val="24"/>
          <w:szCs w:val="24"/>
          <w:lang w:val="pl-PL"/>
        </w:rPr>
        <w:t>eczki rejestracyjnej lotniska</w:t>
      </w:r>
      <w:r w:rsidR="00064485" w:rsidRPr="00EE3C95">
        <w:rPr>
          <w:sz w:val="24"/>
          <w:szCs w:val="24"/>
          <w:lang w:val="pl-PL"/>
        </w:rPr>
        <w:t xml:space="preserve"> (punkty 1</w:t>
      </w:r>
      <w:r w:rsidR="008C5D5E" w:rsidRPr="008C5D5E">
        <w:rPr>
          <w:sz w:val="24"/>
          <w:szCs w:val="24"/>
          <w:lang w:val="pl-PL"/>
        </w:rPr>
        <w:t>–</w:t>
      </w:r>
      <w:r w:rsidR="00064485" w:rsidRPr="00EE3C95">
        <w:rPr>
          <w:sz w:val="24"/>
          <w:szCs w:val="24"/>
          <w:lang w:val="pl-PL"/>
        </w:rPr>
        <w:t>8)</w:t>
      </w:r>
      <w:r w:rsidR="006E3707" w:rsidRPr="00EE3C95">
        <w:rPr>
          <w:sz w:val="24"/>
          <w:szCs w:val="24"/>
          <w:lang w:val="pl-PL"/>
        </w:rPr>
        <w:t>.</w:t>
      </w:r>
      <w:r w:rsidR="00F23142" w:rsidRPr="00EE3C95">
        <w:rPr>
          <w:sz w:val="24"/>
          <w:szCs w:val="24"/>
          <w:lang w:val="pl-PL"/>
        </w:rPr>
        <w:t xml:space="preserve"> </w:t>
      </w:r>
      <w:r w:rsidR="00B061D3">
        <w:rPr>
          <w:sz w:val="24"/>
          <w:szCs w:val="24"/>
          <w:lang w:val="pl-PL"/>
        </w:rPr>
        <w:t>Uchylenie</w:t>
      </w:r>
      <w:r w:rsidR="00B061D3" w:rsidRPr="00EE3C95">
        <w:rPr>
          <w:sz w:val="24"/>
          <w:szCs w:val="24"/>
          <w:lang w:val="pl-PL"/>
        </w:rPr>
        <w:t xml:space="preserve"> </w:t>
      </w:r>
      <w:r w:rsidR="00FB4F36" w:rsidRPr="00EE3C95">
        <w:rPr>
          <w:sz w:val="24"/>
          <w:szCs w:val="24"/>
          <w:lang w:val="pl-PL"/>
        </w:rPr>
        <w:t>pkt 9</w:t>
      </w:r>
      <w:r w:rsidR="00A21C3E" w:rsidRPr="00EE3C95">
        <w:rPr>
          <w:sz w:val="24"/>
          <w:szCs w:val="24"/>
          <w:lang w:val="pl-PL"/>
        </w:rPr>
        <w:t xml:space="preserve"> pozwoli na uniknięcie </w:t>
      </w:r>
      <w:r w:rsidR="006E3707" w:rsidRPr="00EE3C95">
        <w:rPr>
          <w:sz w:val="24"/>
          <w:szCs w:val="24"/>
          <w:lang w:val="pl-PL"/>
        </w:rPr>
        <w:t xml:space="preserve">powielania istniejącej już informacji, </w:t>
      </w:r>
      <w:r w:rsidR="00A21C3E" w:rsidRPr="00EE3C95">
        <w:rPr>
          <w:sz w:val="24"/>
          <w:szCs w:val="24"/>
          <w:lang w:val="pl-PL"/>
        </w:rPr>
        <w:t>co pozytywnie wpłynie na spójność danych i będzie stanowić ułatwienie dla zarządzających lotniskami</w:t>
      </w:r>
      <w:r w:rsidR="00FB4F36" w:rsidRPr="00EE3C95">
        <w:rPr>
          <w:sz w:val="24"/>
          <w:szCs w:val="24"/>
          <w:lang w:val="pl-PL"/>
        </w:rPr>
        <w:t>.</w:t>
      </w:r>
    </w:p>
    <w:p w14:paraId="54BC7F82" w14:textId="10EC9B4C" w:rsidR="00C21C80" w:rsidRPr="00EE3C95" w:rsidRDefault="008367FF" w:rsidP="00C21C80">
      <w:pPr>
        <w:pStyle w:val="Akapitzlist"/>
        <w:widowControl/>
        <w:numPr>
          <w:ilvl w:val="0"/>
          <w:numId w:val="3"/>
        </w:numPr>
        <w:spacing w:after="160"/>
        <w:rPr>
          <w:sz w:val="24"/>
          <w:szCs w:val="24"/>
          <w:lang w:val="pl-PL"/>
        </w:rPr>
      </w:pPr>
      <w:bookmarkStart w:id="2" w:name="_Hlk85448045"/>
      <w:r w:rsidRPr="00EE3C95">
        <w:rPr>
          <w:sz w:val="24"/>
          <w:szCs w:val="24"/>
          <w:lang w:val="pl-PL"/>
        </w:rPr>
        <w:t xml:space="preserve">W </w:t>
      </w:r>
      <w:r w:rsidR="00C21C80" w:rsidRPr="00EE3C95">
        <w:rPr>
          <w:sz w:val="24"/>
          <w:szCs w:val="24"/>
          <w:lang w:val="pl-PL"/>
        </w:rPr>
        <w:t xml:space="preserve">§ 4 ust. 4 </w:t>
      </w:r>
      <w:r w:rsidR="00B061D3">
        <w:rPr>
          <w:sz w:val="24"/>
          <w:szCs w:val="24"/>
          <w:lang w:val="pl-PL"/>
        </w:rPr>
        <w:t>uchylono</w:t>
      </w:r>
      <w:r w:rsidR="00B061D3" w:rsidRPr="00EE3C95">
        <w:rPr>
          <w:sz w:val="24"/>
          <w:szCs w:val="24"/>
          <w:lang w:val="pl-PL"/>
        </w:rPr>
        <w:t xml:space="preserve"> </w:t>
      </w:r>
      <w:r w:rsidR="00C21C80" w:rsidRPr="00EE3C95">
        <w:rPr>
          <w:sz w:val="24"/>
          <w:szCs w:val="24"/>
          <w:lang w:val="pl-PL"/>
        </w:rPr>
        <w:t xml:space="preserve"> pkt 10 </w:t>
      </w:r>
      <w:bookmarkEnd w:id="2"/>
      <w:r w:rsidR="00C21C80" w:rsidRPr="00EE3C95">
        <w:rPr>
          <w:sz w:val="24"/>
          <w:szCs w:val="24"/>
          <w:lang w:val="pl-PL"/>
        </w:rPr>
        <w:t xml:space="preserve">dotyczący informacji o przeprowadzonych kontrolach lotnisk, jako informacje zbędne w </w:t>
      </w:r>
      <w:r w:rsidR="008755D9">
        <w:rPr>
          <w:sz w:val="24"/>
          <w:szCs w:val="24"/>
          <w:lang w:val="pl-PL"/>
        </w:rPr>
        <w:t>t</w:t>
      </w:r>
      <w:r w:rsidR="00C21C80" w:rsidRPr="00EE3C95">
        <w:rPr>
          <w:sz w:val="24"/>
          <w:szCs w:val="24"/>
          <w:lang w:val="pl-PL"/>
        </w:rPr>
        <w:t>eczce rejestracyjnej lotniska ze względu na ich występowanie w odrębnych ewidencjach kontroli lotnisk.</w:t>
      </w:r>
    </w:p>
    <w:p w14:paraId="5E74839A" w14:textId="307BA260" w:rsidR="00C21C80" w:rsidRPr="00EE3C95" w:rsidRDefault="008367FF" w:rsidP="00C21C80">
      <w:pPr>
        <w:pStyle w:val="Akapitzlist"/>
        <w:widowControl/>
        <w:numPr>
          <w:ilvl w:val="0"/>
          <w:numId w:val="3"/>
        </w:numPr>
        <w:spacing w:after="160"/>
        <w:rPr>
          <w:sz w:val="24"/>
          <w:szCs w:val="24"/>
          <w:lang w:val="pl-PL"/>
        </w:rPr>
      </w:pPr>
      <w:r w:rsidRPr="00EE3C95">
        <w:rPr>
          <w:sz w:val="24"/>
          <w:szCs w:val="24"/>
          <w:lang w:val="pl-PL"/>
        </w:rPr>
        <w:t xml:space="preserve">W </w:t>
      </w:r>
      <w:r w:rsidR="00C21C80" w:rsidRPr="00EE3C95">
        <w:rPr>
          <w:sz w:val="24"/>
          <w:szCs w:val="24"/>
          <w:lang w:val="pl-PL"/>
        </w:rPr>
        <w:t>§ 5 ust. 1</w:t>
      </w:r>
      <w:r w:rsidR="0066741D">
        <w:rPr>
          <w:sz w:val="24"/>
          <w:szCs w:val="24"/>
          <w:lang w:val="pl-PL"/>
        </w:rPr>
        <w:t xml:space="preserve"> doprecyzowano, że </w:t>
      </w:r>
      <w:r w:rsidR="00FC359D">
        <w:rPr>
          <w:sz w:val="24"/>
          <w:szCs w:val="24"/>
          <w:lang w:val="pl-PL"/>
        </w:rPr>
        <w:t>i</w:t>
      </w:r>
      <w:r w:rsidR="0066741D" w:rsidRPr="0066741D">
        <w:rPr>
          <w:sz w:val="24"/>
          <w:szCs w:val="24"/>
          <w:lang w:val="pl-PL"/>
        </w:rPr>
        <w:t>ntegralną częścią rejestru jest zbiór dokumentów w</w:t>
      </w:r>
      <w:r w:rsidR="00020BC0">
        <w:rPr>
          <w:sz w:val="24"/>
          <w:szCs w:val="24"/>
          <w:lang w:val="pl-PL"/>
        </w:rPr>
        <w:t> </w:t>
      </w:r>
      <w:r w:rsidR="0066741D" w:rsidRPr="0066741D">
        <w:rPr>
          <w:sz w:val="24"/>
          <w:szCs w:val="24"/>
          <w:lang w:val="pl-PL"/>
        </w:rPr>
        <w:t>postaci papierowej, otrzymany</w:t>
      </w:r>
      <w:r w:rsidR="00EF6E28">
        <w:rPr>
          <w:sz w:val="24"/>
          <w:szCs w:val="24"/>
          <w:lang w:val="pl-PL"/>
        </w:rPr>
        <w:t>ch</w:t>
      </w:r>
      <w:r w:rsidR="0066741D" w:rsidRPr="0066741D">
        <w:rPr>
          <w:sz w:val="24"/>
          <w:szCs w:val="24"/>
          <w:lang w:val="pl-PL"/>
        </w:rPr>
        <w:t xml:space="preserve"> od zarządzającego lotniskiem lub wytworzony</w:t>
      </w:r>
      <w:r w:rsidR="00EF6E28">
        <w:rPr>
          <w:sz w:val="24"/>
          <w:szCs w:val="24"/>
          <w:lang w:val="pl-PL"/>
        </w:rPr>
        <w:t>ch</w:t>
      </w:r>
      <w:r w:rsidR="0066741D" w:rsidRPr="0066741D">
        <w:rPr>
          <w:sz w:val="24"/>
          <w:szCs w:val="24"/>
          <w:lang w:val="pl-PL"/>
        </w:rPr>
        <w:t xml:space="preserve"> w</w:t>
      </w:r>
      <w:r w:rsidR="00020BC0">
        <w:rPr>
          <w:sz w:val="24"/>
          <w:szCs w:val="24"/>
          <w:lang w:val="pl-PL"/>
        </w:rPr>
        <w:t> </w:t>
      </w:r>
      <w:r w:rsidR="0066741D" w:rsidRPr="0066741D">
        <w:rPr>
          <w:sz w:val="24"/>
          <w:szCs w:val="24"/>
          <w:lang w:val="pl-PL"/>
        </w:rPr>
        <w:t>procesie wpisu lotniska do rejestru</w:t>
      </w:r>
      <w:r w:rsidR="00FC359D">
        <w:rPr>
          <w:sz w:val="24"/>
          <w:szCs w:val="24"/>
          <w:lang w:val="pl-PL"/>
        </w:rPr>
        <w:t xml:space="preserve"> lotnisk</w:t>
      </w:r>
      <w:r w:rsidR="00C21C80" w:rsidRPr="00EE3C95">
        <w:rPr>
          <w:sz w:val="24"/>
          <w:szCs w:val="24"/>
          <w:lang w:val="pl-PL"/>
        </w:rPr>
        <w:t xml:space="preserve">. Wynika to z praktycznej potrzeby analizy parametrów i lokalizacji poszczególnych obiektów lotniskowych (szczególnie liniowych) występujących na lotnisku na mapach papierowych zachowujących dokładne skalowanie i </w:t>
      </w:r>
      <w:r w:rsidR="0040040B">
        <w:rPr>
          <w:sz w:val="24"/>
          <w:szCs w:val="24"/>
          <w:lang w:val="pl-PL"/>
        </w:rPr>
        <w:t xml:space="preserve">pozwalających </w:t>
      </w:r>
      <w:r w:rsidR="00C21C80" w:rsidRPr="00EE3C95">
        <w:rPr>
          <w:sz w:val="24"/>
          <w:szCs w:val="24"/>
          <w:lang w:val="pl-PL"/>
        </w:rPr>
        <w:t xml:space="preserve"> nanosić odręczne zmiany z zachowaniem ich archiwizacji.</w:t>
      </w:r>
    </w:p>
    <w:p w14:paraId="36E9A1EF" w14:textId="324E36ED" w:rsidR="006542A6" w:rsidRPr="00EE3C95" w:rsidRDefault="008367FF" w:rsidP="00A140C5">
      <w:pPr>
        <w:pStyle w:val="Akapitzlist"/>
        <w:widowControl/>
        <w:numPr>
          <w:ilvl w:val="0"/>
          <w:numId w:val="3"/>
        </w:numPr>
        <w:spacing w:after="160"/>
        <w:rPr>
          <w:sz w:val="24"/>
          <w:szCs w:val="24"/>
          <w:lang w:val="pl-PL"/>
        </w:rPr>
      </w:pPr>
      <w:r w:rsidRPr="00EE3C95">
        <w:rPr>
          <w:sz w:val="24"/>
          <w:szCs w:val="24"/>
          <w:lang w:val="pl-PL"/>
        </w:rPr>
        <w:t xml:space="preserve">W </w:t>
      </w:r>
      <w:r w:rsidR="006542A6" w:rsidRPr="00EE3C95">
        <w:rPr>
          <w:sz w:val="24"/>
          <w:szCs w:val="24"/>
          <w:lang w:val="pl-PL"/>
        </w:rPr>
        <w:t>§ 5 ust. 3 uzupełniono podstawę wpisu danych do księgi rejestru lotnisk oraz teczki rejestracyjnej lotniska o</w:t>
      </w:r>
      <w:r w:rsidR="00DE3C93">
        <w:rPr>
          <w:sz w:val="24"/>
          <w:szCs w:val="24"/>
          <w:lang w:val="pl-PL"/>
        </w:rPr>
        <w:t xml:space="preserve"> art. 59 ust. 5 </w:t>
      </w:r>
      <w:r w:rsidR="00F73468">
        <w:rPr>
          <w:sz w:val="24"/>
          <w:szCs w:val="24"/>
          <w:lang w:val="pl-PL"/>
        </w:rPr>
        <w:t xml:space="preserve">zdanie drugie ustawy – Prawo lotnicze </w:t>
      </w:r>
      <w:r w:rsidR="00DE3C93">
        <w:rPr>
          <w:sz w:val="24"/>
          <w:szCs w:val="24"/>
          <w:lang w:val="pl-PL"/>
        </w:rPr>
        <w:t>i</w:t>
      </w:r>
      <w:r w:rsidR="006542A6" w:rsidRPr="00EE3C95">
        <w:rPr>
          <w:sz w:val="24"/>
          <w:szCs w:val="24"/>
          <w:lang w:val="pl-PL"/>
        </w:rPr>
        <w:t xml:space="preserve"> art. 61 ust. </w:t>
      </w:r>
      <w:r w:rsidR="0066741D">
        <w:rPr>
          <w:sz w:val="24"/>
          <w:szCs w:val="24"/>
          <w:lang w:val="pl-PL"/>
        </w:rPr>
        <w:t>3</w:t>
      </w:r>
      <w:r w:rsidR="00675598">
        <w:rPr>
          <w:sz w:val="24"/>
          <w:szCs w:val="24"/>
          <w:lang w:val="pl-PL"/>
        </w:rPr>
        <w:t xml:space="preserve"> </w:t>
      </w:r>
      <w:r w:rsidR="00F40701" w:rsidRPr="00EE3C95">
        <w:rPr>
          <w:sz w:val="24"/>
          <w:szCs w:val="24"/>
          <w:lang w:val="pl-PL"/>
        </w:rPr>
        <w:t xml:space="preserve">ustawy </w:t>
      </w:r>
      <w:r w:rsidR="00A140C5" w:rsidRPr="00A140C5">
        <w:rPr>
          <w:sz w:val="24"/>
          <w:szCs w:val="24"/>
          <w:lang w:val="pl-PL"/>
        </w:rPr>
        <w:t>–</w:t>
      </w:r>
      <w:r w:rsidR="00A140C5">
        <w:rPr>
          <w:sz w:val="24"/>
          <w:szCs w:val="24"/>
          <w:lang w:val="pl-PL"/>
        </w:rPr>
        <w:t xml:space="preserve"> </w:t>
      </w:r>
      <w:r w:rsidR="00F40701" w:rsidRPr="00EE3C95">
        <w:rPr>
          <w:sz w:val="24"/>
          <w:szCs w:val="24"/>
          <w:lang w:val="pl-PL"/>
        </w:rPr>
        <w:t xml:space="preserve">Prawo lotnicze, </w:t>
      </w:r>
      <w:r w:rsidR="00726274" w:rsidRPr="00EE3C95">
        <w:rPr>
          <w:sz w:val="24"/>
          <w:szCs w:val="24"/>
          <w:lang w:val="pl-PL"/>
        </w:rPr>
        <w:t>stanowiąc</w:t>
      </w:r>
      <w:r w:rsidR="00F73468">
        <w:rPr>
          <w:sz w:val="24"/>
          <w:szCs w:val="24"/>
          <w:lang w:val="pl-PL"/>
        </w:rPr>
        <w:t>ych</w:t>
      </w:r>
      <w:r w:rsidR="00726274" w:rsidRPr="00EE3C95">
        <w:rPr>
          <w:sz w:val="24"/>
          <w:szCs w:val="24"/>
          <w:lang w:val="pl-PL"/>
        </w:rPr>
        <w:t xml:space="preserve"> umocowanie</w:t>
      </w:r>
      <w:r w:rsidR="00F40701" w:rsidRPr="00EE3C95">
        <w:rPr>
          <w:sz w:val="24"/>
          <w:szCs w:val="24"/>
          <w:lang w:val="pl-PL"/>
        </w:rPr>
        <w:t xml:space="preserve"> prawn</w:t>
      </w:r>
      <w:r w:rsidR="00726274" w:rsidRPr="00EE3C95">
        <w:rPr>
          <w:sz w:val="24"/>
          <w:szCs w:val="24"/>
          <w:lang w:val="pl-PL"/>
        </w:rPr>
        <w:t>e</w:t>
      </w:r>
      <w:r w:rsidR="00F40701" w:rsidRPr="00EE3C95">
        <w:rPr>
          <w:sz w:val="24"/>
          <w:szCs w:val="24"/>
          <w:lang w:val="pl-PL"/>
        </w:rPr>
        <w:t xml:space="preserve"> dla wpisu</w:t>
      </w:r>
      <w:r w:rsidR="00726274" w:rsidRPr="00EE3C95">
        <w:rPr>
          <w:sz w:val="24"/>
          <w:szCs w:val="24"/>
          <w:lang w:val="pl-PL"/>
        </w:rPr>
        <w:t xml:space="preserve"> zmian eksploatacyjnych i technicznych cech lotniska</w:t>
      </w:r>
      <w:r w:rsidR="00F40701" w:rsidRPr="00EE3C95">
        <w:rPr>
          <w:sz w:val="24"/>
          <w:szCs w:val="24"/>
          <w:lang w:val="pl-PL"/>
        </w:rPr>
        <w:t xml:space="preserve"> do rejestru lotnisk</w:t>
      </w:r>
      <w:r w:rsidR="00726274" w:rsidRPr="00EE3C95">
        <w:rPr>
          <w:sz w:val="24"/>
          <w:szCs w:val="24"/>
          <w:lang w:val="pl-PL"/>
        </w:rPr>
        <w:t>.</w:t>
      </w:r>
    </w:p>
    <w:p w14:paraId="3BF61262" w14:textId="63E22FD6" w:rsidR="00C21C80" w:rsidRPr="00EE3C95" w:rsidRDefault="00CC724D" w:rsidP="00C21C80">
      <w:pPr>
        <w:pStyle w:val="Akapitzlist"/>
        <w:widowControl/>
        <w:numPr>
          <w:ilvl w:val="0"/>
          <w:numId w:val="3"/>
        </w:numPr>
        <w:spacing w:after="160"/>
        <w:rPr>
          <w:sz w:val="24"/>
          <w:szCs w:val="24"/>
          <w:lang w:val="pl-PL"/>
        </w:rPr>
      </w:pPr>
      <w:r w:rsidRPr="00EE3C95">
        <w:rPr>
          <w:sz w:val="24"/>
          <w:szCs w:val="24"/>
          <w:lang w:val="pl-PL"/>
        </w:rPr>
        <w:t xml:space="preserve">W </w:t>
      </w:r>
      <w:r w:rsidR="00C21C80" w:rsidRPr="00EE3C95">
        <w:rPr>
          <w:sz w:val="24"/>
          <w:szCs w:val="24"/>
          <w:lang w:val="pl-PL"/>
        </w:rPr>
        <w:t>§ 6 ust. 1 pkt 1 i 2 został sprecyzowany zakres zawartości naniesień na mapach rejestrowych o niezbędne dane i informacje wpływające na eksploatację lotniska oraz umożliwiające analizę zmian na lotnisku.</w:t>
      </w:r>
    </w:p>
    <w:p w14:paraId="6A2C1B28" w14:textId="7E5FCC72" w:rsidR="00C21C80" w:rsidRPr="00EE3C95" w:rsidRDefault="00CC724D" w:rsidP="00C21C80">
      <w:pPr>
        <w:pStyle w:val="Akapitzlist"/>
        <w:widowControl/>
        <w:numPr>
          <w:ilvl w:val="0"/>
          <w:numId w:val="3"/>
        </w:numPr>
        <w:spacing w:after="160"/>
        <w:rPr>
          <w:sz w:val="24"/>
          <w:szCs w:val="24"/>
          <w:lang w:val="pl-PL"/>
        </w:rPr>
      </w:pPr>
      <w:r w:rsidRPr="00EE3C95">
        <w:rPr>
          <w:sz w:val="24"/>
          <w:szCs w:val="24"/>
          <w:lang w:val="pl-PL"/>
        </w:rPr>
        <w:t xml:space="preserve">W </w:t>
      </w:r>
      <w:r w:rsidR="00C21C80" w:rsidRPr="00EE3C95">
        <w:rPr>
          <w:sz w:val="24"/>
          <w:szCs w:val="24"/>
          <w:lang w:val="pl-PL"/>
        </w:rPr>
        <w:t>§ 6 ust. 2 zostały sprecyzowane parametry zbiorów danych gromadzonych w rejestrze lotnisk dokumentów szczególnie map rejestrowych co ma na celu ujednolicenie zbiorów danych oraz ułatwienie prac w zakresie rejestru lotnisk i jego archiwizacji.</w:t>
      </w:r>
    </w:p>
    <w:p w14:paraId="391ABA67" w14:textId="229FE946" w:rsidR="003C1210" w:rsidRPr="00EE3C95" w:rsidRDefault="00CC724D" w:rsidP="00C21C80">
      <w:pPr>
        <w:pStyle w:val="Akapitzlist"/>
        <w:widowControl/>
        <w:numPr>
          <w:ilvl w:val="0"/>
          <w:numId w:val="3"/>
        </w:numPr>
        <w:spacing w:after="160"/>
        <w:rPr>
          <w:sz w:val="24"/>
          <w:szCs w:val="24"/>
          <w:lang w:val="pl-PL"/>
        </w:rPr>
      </w:pPr>
      <w:r w:rsidRPr="00EE3C95">
        <w:rPr>
          <w:sz w:val="24"/>
          <w:szCs w:val="24"/>
          <w:lang w:val="pl-PL"/>
        </w:rPr>
        <w:t xml:space="preserve">W </w:t>
      </w:r>
      <w:r w:rsidR="003C1210" w:rsidRPr="00EE3C95">
        <w:rPr>
          <w:sz w:val="24"/>
          <w:szCs w:val="24"/>
          <w:lang w:val="pl-PL"/>
        </w:rPr>
        <w:t xml:space="preserve">§ 6 </w:t>
      </w:r>
      <w:r w:rsidR="00194BAD" w:rsidRPr="00EE3C95">
        <w:rPr>
          <w:sz w:val="24"/>
          <w:szCs w:val="24"/>
          <w:lang w:val="pl-PL"/>
        </w:rPr>
        <w:t xml:space="preserve">dodano </w:t>
      </w:r>
      <w:r w:rsidR="003C1210" w:rsidRPr="00EE3C95">
        <w:rPr>
          <w:sz w:val="24"/>
          <w:szCs w:val="24"/>
          <w:lang w:val="pl-PL"/>
        </w:rPr>
        <w:t>ust. 4</w:t>
      </w:r>
      <w:r w:rsidRPr="00EE3C95">
        <w:rPr>
          <w:sz w:val="24"/>
          <w:szCs w:val="24"/>
          <w:lang w:val="pl-PL"/>
        </w:rPr>
        <w:t>,</w:t>
      </w:r>
      <w:r w:rsidR="003C1210" w:rsidRPr="00EE3C95">
        <w:rPr>
          <w:sz w:val="24"/>
          <w:szCs w:val="24"/>
          <w:lang w:val="pl-PL"/>
        </w:rPr>
        <w:t xml:space="preserve"> </w:t>
      </w:r>
      <w:r w:rsidR="00194BAD" w:rsidRPr="00EE3C95">
        <w:rPr>
          <w:sz w:val="24"/>
          <w:szCs w:val="24"/>
          <w:lang w:val="pl-PL"/>
        </w:rPr>
        <w:t>a wraz z nim</w:t>
      </w:r>
      <w:r w:rsidR="003C1210" w:rsidRPr="00EE3C95">
        <w:rPr>
          <w:sz w:val="24"/>
          <w:szCs w:val="24"/>
          <w:lang w:val="pl-PL"/>
        </w:rPr>
        <w:t xml:space="preserve"> obowiązek poświadczenia dokumentacji </w:t>
      </w:r>
      <w:r w:rsidR="003D7B7A" w:rsidRPr="00EE3C95">
        <w:rPr>
          <w:sz w:val="24"/>
          <w:szCs w:val="24"/>
          <w:lang w:val="pl-PL"/>
        </w:rPr>
        <w:t>stanowiącej</w:t>
      </w:r>
      <w:r w:rsidR="003C1210" w:rsidRPr="00EE3C95">
        <w:rPr>
          <w:sz w:val="24"/>
          <w:szCs w:val="24"/>
          <w:lang w:val="pl-PL"/>
        </w:rPr>
        <w:t xml:space="preserve"> kartograficzną część </w:t>
      </w:r>
      <w:r w:rsidR="003D7B7A" w:rsidRPr="00EE3C95">
        <w:rPr>
          <w:sz w:val="24"/>
          <w:szCs w:val="24"/>
          <w:lang w:val="pl-PL"/>
        </w:rPr>
        <w:t xml:space="preserve">rejestru lotnisk opisaną w ust.1 </w:t>
      </w:r>
      <w:r w:rsidR="003C1210" w:rsidRPr="00EE3C95">
        <w:rPr>
          <w:sz w:val="24"/>
          <w:szCs w:val="24"/>
          <w:lang w:val="pl-PL"/>
        </w:rPr>
        <w:t>przez uprawnionego geodetę.</w:t>
      </w:r>
    </w:p>
    <w:p w14:paraId="7E1129B0" w14:textId="3AF83130" w:rsidR="00E27CE4" w:rsidRPr="00EE3C95" w:rsidRDefault="00CC724D" w:rsidP="00E27CE4">
      <w:pPr>
        <w:pStyle w:val="Akapitzlist"/>
        <w:widowControl/>
        <w:numPr>
          <w:ilvl w:val="0"/>
          <w:numId w:val="3"/>
        </w:numPr>
        <w:spacing w:after="160"/>
        <w:rPr>
          <w:sz w:val="24"/>
          <w:szCs w:val="24"/>
          <w:lang w:val="pl-PL"/>
        </w:rPr>
      </w:pPr>
      <w:r w:rsidRPr="00EE3C95">
        <w:rPr>
          <w:sz w:val="24"/>
          <w:szCs w:val="24"/>
          <w:lang w:val="pl-PL"/>
        </w:rPr>
        <w:t>W</w:t>
      </w:r>
      <w:r w:rsidR="00E27CE4" w:rsidRPr="00EE3C95">
        <w:rPr>
          <w:sz w:val="24"/>
          <w:szCs w:val="24"/>
          <w:lang w:val="pl-PL"/>
        </w:rPr>
        <w:t xml:space="preserve"> § 7 </w:t>
      </w:r>
      <w:r w:rsidR="00194BAD" w:rsidRPr="00EE3C95">
        <w:rPr>
          <w:sz w:val="24"/>
          <w:szCs w:val="24"/>
          <w:lang w:val="pl-PL"/>
        </w:rPr>
        <w:t xml:space="preserve">w </w:t>
      </w:r>
      <w:r w:rsidR="00E27CE4" w:rsidRPr="00EE3C95">
        <w:rPr>
          <w:sz w:val="24"/>
          <w:szCs w:val="24"/>
          <w:lang w:val="pl-PL"/>
        </w:rPr>
        <w:t xml:space="preserve">ust. 1 </w:t>
      </w:r>
      <w:r w:rsidR="000919BC" w:rsidRPr="00EE3C95">
        <w:rPr>
          <w:sz w:val="24"/>
          <w:szCs w:val="24"/>
          <w:lang w:val="pl-PL"/>
        </w:rPr>
        <w:t>zawierający</w:t>
      </w:r>
      <w:r w:rsidR="002F6147" w:rsidRPr="00EE3C95">
        <w:rPr>
          <w:sz w:val="24"/>
          <w:szCs w:val="24"/>
          <w:lang w:val="pl-PL"/>
        </w:rPr>
        <w:t>m</w:t>
      </w:r>
      <w:r w:rsidR="000919BC" w:rsidRPr="00EE3C95">
        <w:rPr>
          <w:sz w:val="24"/>
          <w:szCs w:val="24"/>
          <w:lang w:val="pl-PL"/>
        </w:rPr>
        <w:t xml:space="preserve"> katalog istotnych zmian eksploatacyjnych i technicznych cech lotniska wymagających uzyskania zezwolenia Prezesa Urzędu Lotnictwa Cywilnego</w:t>
      </w:r>
      <w:r w:rsidR="002F6147" w:rsidRPr="00EE3C95">
        <w:rPr>
          <w:sz w:val="24"/>
          <w:szCs w:val="24"/>
          <w:lang w:val="pl-PL"/>
        </w:rPr>
        <w:t>,</w:t>
      </w:r>
      <w:r w:rsidR="000919BC" w:rsidRPr="00EE3C95">
        <w:rPr>
          <w:sz w:val="24"/>
          <w:szCs w:val="24"/>
          <w:lang w:val="pl-PL"/>
        </w:rPr>
        <w:t xml:space="preserve"> </w:t>
      </w:r>
      <w:r w:rsidR="00E27CE4" w:rsidRPr="00EE3C95">
        <w:rPr>
          <w:sz w:val="24"/>
          <w:szCs w:val="24"/>
          <w:lang w:val="pl-PL"/>
        </w:rPr>
        <w:t xml:space="preserve">usunięto znajdujący się pierwotnie w pkt 4 </w:t>
      </w:r>
      <w:r w:rsidR="00EF1F8A">
        <w:rPr>
          <w:sz w:val="24"/>
          <w:szCs w:val="24"/>
          <w:lang w:val="pl-PL"/>
        </w:rPr>
        <w:t>prze</w:t>
      </w:r>
      <w:r w:rsidR="00E27CE4" w:rsidRPr="00EE3C95">
        <w:rPr>
          <w:sz w:val="24"/>
          <w:szCs w:val="24"/>
          <w:lang w:val="pl-PL"/>
        </w:rPr>
        <w:t xml:space="preserve">pis </w:t>
      </w:r>
      <w:r w:rsidR="00E27CE4" w:rsidRPr="006B5D9C">
        <w:rPr>
          <w:sz w:val="24"/>
          <w:szCs w:val="24"/>
          <w:lang w:val="pl-PL"/>
        </w:rPr>
        <w:t xml:space="preserve">wskazujący na </w:t>
      </w:r>
      <w:r w:rsidR="00E27CE4" w:rsidRPr="00EE3C95">
        <w:rPr>
          <w:sz w:val="24"/>
          <w:szCs w:val="24"/>
          <w:lang w:val="pl-PL"/>
        </w:rPr>
        <w:t>granicę pola wzlotów i układ dróg startowych lotniska</w:t>
      </w:r>
      <w:r w:rsidR="000919BC" w:rsidRPr="00EE3C95">
        <w:rPr>
          <w:sz w:val="24"/>
          <w:szCs w:val="24"/>
          <w:lang w:val="pl-PL"/>
        </w:rPr>
        <w:t xml:space="preserve">. </w:t>
      </w:r>
      <w:r w:rsidR="00EF1F8A">
        <w:rPr>
          <w:sz w:val="24"/>
          <w:szCs w:val="24"/>
          <w:lang w:val="pl-PL"/>
        </w:rPr>
        <w:t>Prze</w:t>
      </w:r>
      <w:r w:rsidR="000919BC" w:rsidRPr="00EE3C95">
        <w:rPr>
          <w:sz w:val="24"/>
          <w:szCs w:val="24"/>
          <w:lang w:val="pl-PL"/>
        </w:rPr>
        <w:t xml:space="preserve">pis </w:t>
      </w:r>
      <w:r w:rsidR="00A428C0" w:rsidRPr="00EE3C95">
        <w:rPr>
          <w:sz w:val="24"/>
          <w:szCs w:val="24"/>
          <w:lang w:val="pl-PL"/>
        </w:rPr>
        <w:t>został usunięty, gdyż kwestie te związane są ze zmianą parametrów drogi startowej</w:t>
      </w:r>
      <w:r w:rsidR="002F6147" w:rsidRPr="00EE3C95">
        <w:rPr>
          <w:sz w:val="24"/>
          <w:szCs w:val="24"/>
          <w:lang w:val="pl-PL"/>
        </w:rPr>
        <w:t xml:space="preserve"> i stanowiły niejako zdublowanie zapisu zawartego w następnym punkcie.</w:t>
      </w:r>
    </w:p>
    <w:p w14:paraId="6A65A64D" w14:textId="7D9DDE30" w:rsidR="00FC5689" w:rsidRPr="00EE3C95" w:rsidRDefault="00C844C1" w:rsidP="00EF1F8A">
      <w:pPr>
        <w:pStyle w:val="Akapitzlist"/>
        <w:widowControl/>
        <w:numPr>
          <w:ilvl w:val="0"/>
          <w:numId w:val="3"/>
        </w:numPr>
        <w:spacing w:after="160"/>
        <w:rPr>
          <w:sz w:val="24"/>
          <w:szCs w:val="24"/>
          <w:lang w:val="pl-PL"/>
        </w:rPr>
      </w:pPr>
      <w:r w:rsidRPr="00EE3C95">
        <w:rPr>
          <w:sz w:val="24"/>
          <w:szCs w:val="24"/>
          <w:lang w:val="pl-PL"/>
        </w:rPr>
        <w:t xml:space="preserve">W </w:t>
      </w:r>
      <w:r w:rsidR="00FC5689" w:rsidRPr="00EE3C95">
        <w:rPr>
          <w:sz w:val="24"/>
          <w:szCs w:val="24"/>
          <w:lang w:val="pl-PL"/>
        </w:rPr>
        <w:t xml:space="preserve">§ 7 ust. 1 pkt </w:t>
      </w:r>
      <w:r w:rsidR="004146AF" w:rsidRPr="00EE3C95">
        <w:rPr>
          <w:sz w:val="24"/>
          <w:szCs w:val="24"/>
          <w:lang w:val="pl-PL"/>
        </w:rPr>
        <w:t xml:space="preserve">5 </w:t>
      </w:r>
      <w:r w:rsidR="00300D9E" w:rsidRPr="00EE3C95">
        <w:rPr>
          <w:sz w:val="24"/>
          <w:szCs w:val="24"/>
          <w:lang w:val="pl-PL"/>
        </w:rPr>
        <w:t xml:space="preserve">zmieniono </w:t>
      </w:r>
      <w:r w:rsidR="008D6965" w:rsidRPr="00EE3C95">
        <w:rPr>
          <w:sz w:val="24"/>
          <w:szCs w:val="24"/>
          <w:lang w:val="pl-PL"/>
        </w:rPr>
        <w:t>pierwszą część punktu: „parametrów drogi startowej i jej zabezpieczeń, ...” na: „parametrów drogi startowej</w:t>
      </w:r>
      <w:r w:rsidR="0066741D">
        <w:rPr>
          <w:sz w:val="24"/>
          <w:szCs w:val="24"/>
          <w:lang w:val="pl-PL"/>
        </w:rPr>
        <w:t xml:space="preserve"> lub</w:t>
      </w:r>
      <w:r w:rsidRPr="00EE3C95">
        <w:rPr>
          <w:sz w:val="24"/>
          <w:szCs w:val="24"/>
          <w:lang w:val="pl-PL"/>
        </w:rPr>
        <w:t xml:space="preserve"> strefy końcowego podejścia i startu (</w:t>
      </w:r>
      <w:r w:rsidR="008D6965" w:rsidRPr="00EE3C95">
        <w:rPr>
          <w:sz w:val="24"/>
          <w:szCs w:val="24"/>
          <w:lang w:val="pl-PL"/>
        </w:rPr>
        <w:t>FATO</w:t>
      </w:r>
      <w:r w:rsidRPr="00EE3C95">
        <w:rPr>
          <w:sz w:val="24"/>
          <w:szCs w:val="24"/>
          <w:lang w:val="pl-PL"/>
        </w:rPr>
        <w:t>)</w:t>
      </w:r>
      <w:r w:rsidR="008D6965" w:rsidRPr="00EE3C95">
        <w:rPr>
          <w:sz w:val="24"/>
          <w:szCs w:val="24"/>
          <w:lang w:val="pl-PL"/>
        </w:rPr>
        <w:t xml:space="preserve"> i </w:t>
      </w:r>
      <w:r w:rsidR="00193D62">
        <w:rPr>
          <w:sz w:val="24"/>
          <w:szCs w:val="24"/>
          <w:lang w:val="pl-PL"/>
        </w:rPr>
        <w:t>ich</w:t>
      </w:r>
      <w:r w:rsidR="008D6965" w:rsidRPr="00EE3C95">
        <w:rPr>
          <w:sz w:val="24"/>
          <w:szCs w:val="24"/>
          <w:lang w:val="pl-PL"/>
        </w:rPr>
        <w:t xml:space="preserve"> zabezpieczeń”</w:t>
      </w:r>
      <w:r w:rsidR="006B5D9C">
        <w:rPr>
          <w:sz w:val="24"/>
          <w:szCs w:val="24"/>
          <w:lang w:val="pl-PL"/>
        </w:rPr>
        <w:t>,</w:t>
      </w:r>
      <w:r w:rsidR="008D6965" w:rsidRPr="00EE3C95">
        <w:rPr>
          <w:sz w:val="24"/>
          <w:szCs w:val="24"/>
          <w:lang w:val="pl-PL"/>
        </w:rPr>
        <w:t xml:space="preserve"> precyzując, że przepis dotyczy zarówno drogi startowej dla samolotów, jak i strefy podejścia końcowego i startu dla śmigłowców. Ponadto</w:t>
      </w:r>
      <w:r w:rsidR="00300D9E" w:rsidRPr="00EE3C95">
        <w:rPr>
          <w:sz w:val="24"/>
          <w:szCs w:val="24"/>
          <w:lang w:val="pl-PL"/>
        </w:rPr>
        <w:t>,</w:t>
      </w:r>
      <w:r w:rsidR="008D6965" w:rsidRPr="00EE3C95">
        <w:rPr>
          <w:sz w:val="24"/>
          <w:szCs w:val="24"/>
          <w:lang w:val="pl-PL"/>
        </w:rPr>
        <w:t xml:space="preserve"> </w:t>
      </w:r>
      <w:r w:rsidR="00EE6E75" w:rsidRPr="00EE3C95">
        <w:rPr>
          <w:sz w:val="24"/>
          <w:szCs w:val="24"/>
          <w:lang w:val="pl-PL"/>
        </w:rPr>
        <w:t xml:space="preserve">usunięto zapis: „w tym powodujących zmianę kodu referencyjnego lotniska” </w:t>
      </w:r>
      <w:r w:rsidR="00EF1F8A" w:rsidRPr="00EF1F8A">
        <w:rPr>
          <w:sz w:val="24"/>
          <w:szCs w:val="24"/>
          <w:lang w:val="pl-PL"/>
        </w:rPr>
        <w:t>–</w:t>
      </w:r>
      <w:r w:rsidR="00EE6E75" w:rsidRPr="00EE3C95">
        <w:rPr>
          <w:sz w:val="24"/>
          <w:szCs w:val="24"/>
          <w:lang w:val="pl-PL"/>
        </w:rPr>
        <w:t xml:space="preserve"> </w:t>
      </w:r>
      <w:r w:rsidR="0098777B" w:rsidRPr="00EE3C95">
        <w:rPr>
          <w:sz w:val="24"/>
          <w:szCs w:val="24"/>
          <w:lang w:val="pl-PL"/>
        </w:rPr>
        <w:t xml:space="preserve">zmiana kodu nie zawsze jest związana </w:t>
      </w:r>
      <w:r w:rsidR="00EE6E75" w:rsidRPr="00EE3C95">
        <w:rPr>
          <w:sz w:val="24"/>
          <w:szCs w:val="24"/>
          <w:lang w:val="pl-PL"/>
        </w:rPr>
        <w:t>ze zmianą parametrów</w:t>
      </w:r>
      <w:r w:rsidR="0064504F" w:rsidRPr="00EE3C95">
        <w:rPr>
          <w:sz w:val="24"/>
          <w:szCs w:val="24"/>
          <w:lang w:val="pl-PL"/>
        </w:rPr>
        <w:t xml:space="preserve"> drogi startowej.</w:t>
      </w:r>
    </w:p>
    <w:p w14:paraId="73794BF5" w14:textId="3373CCBE" w:rsidR="00E27CE4" w:rsidRPr="00EE3C95" w:rsidRDefault="00C844C1" w:rsidP="00E95565">
      <w:pPr>
        <w:pStyle w:val="Akapitzlist"/>
        <w:widowControl/>
        <w:numPr>
          <w:ilvl w:val="0"/>
          <w:numId w:val="3"/>
        </w:numPr>
        <w:spacing w:after="160"/>
        <w:rPr>
          <w:sz w:val="24"/>
          <w:szCs w:val="24"/>
          <w:lang w:val="pl-PL"/>
        </w:rPr>
      </w:pPr>
      <w:r w:rsidRPr="00EE3C95">
        <w:rPr>
          <w:sz w:val="24"/>
          <w:szCs w:val="24"/>
          <w:lang w:val="pl-PL"/>
        </w:rPr>
        <w:t xml:space="preserve">W </w:t>
      </w:r>
      <w:r w:rsidR="00044D58" w:rsidRPr="00EE3C95">
        <w:rPr>
          <w:sz w:val="24"/>
          <w:szCs w:val="24"/>
          <w:lang w:val="pl-PL"/>
        </w:rPr>
        <w:t xml:space="preserve">§ 7 ust. 1 pkt </w:t>
      </w:r>
      <w:r w:rsidR="00194BAD" w:rsidRPr="00EE3C95">
        <w:rPr>
          <w:sz w:val="24"/>
          <w:szCs w:val="24"/>
          <w:lang w:val="pl-PL"/>
        </w:rPr>
        <w:t>6</w:t>
      </w:r>
      <w:r w:rsidR="0009186B" w:rsidRPr="00EE3C95">
        <w:rPr>
          <w:sz w:val="24"/>
          <w:szCs w:val="24"/>
          <w:lang w:val="pl-PL"/>
        </w:rPr>
        <w:t xml:space="preserve"> </w:t>
      </w:r>
      <w:r w:rsidR="00044D58" w:rsidRPr="00EE3C95">
        <w:rPr>
          <w:sz w:val="24"/>
          <w:szCs w:val="24"/>
          <w:lang w:val="pl-PL"/>
        </w:rPr>
        <w:t xml:space="preserve">doprecyzowano </w:t>
      </w:r>
      <w:r w:rsidR="00B061D3">
        <w:rPr>
          <w:sz w:val="24"/>
          <w:szCs w:val="24"/>
          <w:lang w:val="pl-PL"/>
        </w:rPr>
        <w:t>przepis</w:t>
      </w:r>
      <w:r w:rsidR="00B061D3" w:rsidRPr="00EE3C95">
        <w:rPr>
          <w:sz w:val="24"/>
          <w:szCs w:val="24"/>
          <w:lang w:val="pl-PL"/>
        </w:rPr>
        <w:t xml:space="preserve"> </w:t>
      </w:r>
      <w:r w:rsidR="0009186B" w:rsidRPr="00EE3C95">
        <w:rPr>
          <w:sz w:val="24"/>
          <w:szCs w:val="24"/>
          <w:lang w:val="pl-PL"/>
        </w:rPr>
        <w:t>–</w:t>
      </w:r>
      <w:r w:rsidR="00044D58" w:rsidRPr="00EE3C95">
        <w:rPr>
          <w:sz w:val="24"/>
          <w:szCs w:val="24"/>
          <w:lang w:val="pl-PL"/>
        </w:rPr>
        <w:t xml:space="preserve"> </w:t>
      </w:r>
      <w:r w:rsidR="0009186B" w:rsidRPr="00EE3C95">
        <w:rPr>
          <w:sz w:val="24"/>
          <w:szCs w:val="24"/>
          <w:lang w:val="pl-PL"/>
        </w:rPr>
        <w:t xml:space="preserve">pierwotne </w:t>
      </w:r>
      <w:r w:rsidR="00044D58" w:rsidRPr="00EE3C95">
        <w:rPr>
          <w:sz w:val="24"/>
          <w:szCs w:val="24"/>
          <w:lang w:val="pl-PL"/>
        </w:rPr>
        <w:t xml:space="preserve">sformułowanie: </w:t>
      </w:r>
      <w:r w:rsidR="0009186B" w:rsidRPr="00EE3C95">
        <w:rPr>
          <w:sz w:val="24"/>
          <w:szCs w:val="24"/>
          <w:lang w:val="pl-PL"/>
        </w:rPr>
        <w:t xml:space="preserve">„likwidacji, budowy lub rozbudowy </w:t>
      </w:r>
      <w:r w:rsidR="00044D58" w:rsidRPr="00EE3C95">
        <w:rPr>
          <w:sz w:val="24"/>
          <w:szCs w:val="24"/>
          <w:lang w:val="pl-PL"/>
        </w:rPr>
        <w:t>infrastruktury lotniskowej, teletechnicznej lub nawigacyjnej</w:t>
      </w:r>
      <w:r w:rsidR="0009186B" w:rsidRPr="00EE3C95">
        <w:rPr>
          <w:sz w:val="24"/>
          <w:szCs w:val="24"/>
          <w:lang w:val="pl-PL"/>
        </w:rPr>
        <w:t>”</w:t>
      </w:r>
      <w:r w:rsidR="00044D58" w:rsidRPr="00EE3C95">
        <w:rPr>
          <w:sz w:val="24"/>
          <w:szCs w:val="24"/>
          <w:lang w:val="pl-PL"/>
        </w:rPr>
        <w:t xml:space="preserve"> zastąpiono sformułowaniem: </w:t>
      </w:r>
      <w:r w:rsidR="0009186B" w:rsidRPr="00EE3C95">
        <w:rPr>
          <w:sz w:val="24"/>
          <w:szCs w:val="24"/>
          <w:lang w:val="pl-PL"/>
        </w:rPr>
        <w:t xml:space="preserve">„likwidacji, budowy lub rozbudowy </w:t>
      </w:r>
      <w:r w:rsidR="00044D58" w:rsidRPr="00EE3C95">
        <w:rPr>
          <w:sz w:val="24"/>
          <w:szCs w:val="24"/>
          <w:lang w:val="pl-PL"/>
        </w:rPr>
        <w:t xml:space="preserve">pojedynczych </w:t>
      </w:r>
      <w:r w:rsidR="00E27CE4" w:rsidRPr="00EE3C95">
        <w:rPr>
          <w:sz w:val="24"/>
          <w:szCs w:val="24"/>
          <w:lang w:val="pl-PL"/>
        </w:rPr>
        <w:t>obiektów</w:t>
      </w:r>
      <w:r w:rsidR="00044D58" w:rsidRPr="00EE3C95">
        <w:rPr>
          <w:sz w:val="24"/>
          <w:szCs w:val="24"/>
          <w:lang w:val="pl-PL"/>
        </w:rPr>
        <w:t xml:space="preserve"> infrastruktury lotniskowej oraz autonomicznych systemów </w:t>
      </w:r>
      <w:r w:rsidR="00044D58" w:rsidRPr="00EE3C95">
        <w:rPr>
          <w:sz w:val="24"/>
          <w:szCs w:val="24"/>
          <w:lang w:val="pl-PL"/>
        </w:rPr>
        <w:lastRenderedPageBreak/>
        <w:t>elektroenergetycznych</w:t>
      </w:r>
      <w:r w:rsidR="00DE595E" w:rsidRPr="00EE3C95">
        <w:rPr>
          <w:sz w:val="24"/>
          <w:szCs w:val="24"/>
          <w:lang w:val="pl-PL"/>
        </w:rPr>
        <w:t>,</w:t>
      </w:r>
      <w:r w:rsidR="00044D58" w:rsidRPr="00EE3C95">
        <w:rPr>
          <w:sz w:val="24"/>
          <w:szCs w:val="24"/>
          <w:lang w:val="pl-PL"/>
        </w:rPr>
        <w:t xml:space="preserve"> teletechnicznych, nawigacyjnych, sanitarnych, paliwowych</w:t>
      </w:r>
      <w:r w:rsidR="006235AE">
        <w:rPr>
          <w:sz w:val="24"/>
          <w:szCs w:val="24"/>
          <w:lang w:val="pl-PL"/>
        </w:rPr>
        <w:t xml:space="preserve"> i</w:t>
      </w:r>
      <w:r w:rsidR="00044D58" w:rsidRPr="00EE3C95">
        <w:rPr>
          <w:sz w:val="24"/>
          <w:szCs w:val="24"/>
          <w:lang w:val="pl-PL"/>
        </w:rPr>
        <w:t xml:space="preserve"> odwadniających</w:t>
      </w:r>
      <w:r w:rsidR="0009186B" w:rsidRPr="00EE3C95">
        <w:rPr>
          <w:sz w:val="24"/>
          <w:szCs w:val="24"/>
          <w:lang w:val="pl-PL"/>
        </w:rPr>
        <w:t>”</w:t>
      </w:r>
      <w:r w:rsidR="00DE595E" w:rsidRPr="00EE3C95">
        <w:rPr>
          <w:sz w:val="24"/>
          <w:szCs w:val="24"/>
          <w:lang w:val="pl-PL"/>
        </w:rPr>
        <w:t>.</w:t>
      </w:r>
    </w:p>
    <w:p w14:paraId="0F63DC22" w14:textId="11153C59" w:rsidR="00FD0930" w:rsidRPr="00EE3C95" w:rsidRDefault="00C844C1" w:rsidP="00E95565">
      <w:pPr>
        <w:pStyle w:val="Akapitzlist"/>
        <w:widowControl/>
        <w:numPr>
          <w:ilvl w:val="0"/>
          <w:numId w:val="3"/>
        </w:numPr>
        <w:spacing w:after="160"/>
        <w:rPr>
          <w:sz w:val="24"/>
          <w:szCs w:val="24"/>
          <w:lang w:val="pl-PL"/>
        </w:rPr>
      </w:pPr>
      <w:r w:rsidRPr="00EE3C95">
        <w:rPr>
          <w:sz w:val="24"/>
          <w:szCs w:val="24"/>
          <w:lang w:val="pl-PL"/>
        </w:rPr>
        <w:t xml:space="preserve">W </w:t>
      </w:r>
      <w:r w:rsidR="00C21C80" w:rsidRPr="00EE3C95">
        <w:rPr>
          <w:sz w:val="24"/>
          <w:szCs w:val="24"/>
          <w:lang w:val="pl-PL"/>
        </w:rPr>
        <w:t xml:space="preserve">§ 7 ust. 1 pkt </w:t>
      </w:r>
      <w:r w:rsidR="00194BAD" w:rsidRPr="00EE3C95">
        <w:rPr>
          <w:sz w:val="24"/>
          <w:szCs w:val="24"/>
          <w:lang w:val="pl-PL"/>
        </w:rPr>
        <w:t>8</w:t>
      </w:r>
      <w:r w:rsidR="00A41722" w:rsidRPr="00EE3C95">
        <w:rPr>
          <w:sz w:val="24"/>
          <w:szCs w:val="24"/>
          <w:lang w:val="pl-PL"/>
        </w:rPr>
        <w:t xml:space="preserve"> </w:t>
      </w:r>
      <w:r w:rsidR="00C21C80" w:rsidRPr="00EE3C95">
        <w:rPr>
          <w:sz w:val="24"/>
          <w:szCs w:val="24"/>
          <w:lang w:val="pl-PL"/>
        </w:rPr>
        <w:t xml:space="preserve">pierwotny </w:t>
      </w:r>
      <w:r w:rsidR="008E56E0">
        <w:rPr>
          <w:sz w:val="24"/>
          <w:szCs w:val="24"/>
          <w:lang w:val="pl-PL"/>
        </w:rPr>
        <w:t>zapis</w:t>
      </w:r>
      <w:r w:rsidR="00A41722" w:rsidRPr="00EE3C95">
        <w:rPr>
          <w:sz w:val="24"/>
          <w:szCs w:val="24"/>
          <w:lang w:val="pl-PL"/>
        </w:rPr>
        <w:t xml:space="preserve">: </w:t>
      </w:r>
      <w:r w:rsidR="00C21C80" w:rsidRPr="00EE3C95">
        <w:rPr>
          <w:sz w:val="24"/>
          <w:szCs w:val="24"/>
          <w:lang w:val="pl-PL"/>
        </w:rPr>
        <w:t xml:space="preserve">„jeżeli skutkuje to zmianą kategorii na okres dłuższy niż 7 dni” </w:t>
      </w:r>
      <w:r w:rsidR="003D7B7A" w:rsidRPr="00EE3C95">
        <w:rPr>
          <w:sz w:val="24"/>
          <w:szCs w:val="24"/>
          <w:lang w:val="pl-PL"/>
        </w:rPr>
        <w:t xml:space="preserve">zastąpiono </w:t>
      </w:r>
      <w:r w:rsidR="00C21C80" w:rsidRPr="00EE3C95">
        <w:rPr>
          <w:sz w:val="24"/>
          <w:szCs w:val="24"/>
          <w:lang w:val="pl-PL"/>
        </w:rPr>
        <w:t>zapisem: „o ile nie wystąpiły nieprzewidziane okoliczności prowadzące do tymczasowego obniżenia poziomu ochrony ratowniczo-gaśniczej lotniska i są one uznawane za nieplanowane zdarzenia</w:t>
      </w:r>
      <w:r w:rsidR="006235AE">
        <w:rPr>
          <w:sz w:val="24"/>
          <w:szCs w:val="24"/>
          <w:lang w:val="pl-PL"/>
        </w:rPr>
        <w:t xml:space="preserve"> skutkujące</w:t>
      </w:r>
      <w:r w:rsidR="00C21C80" w:rsidRPr="00EE3C95">
        <w:rPr>
          <w:sz w:val="24"/>
          <w:szCs w:val="24"/>
          <w:lang w:val="pl-PL"/>
        </w:rPr>
        <w:t xml:space="preserve"> niedostępnością infrastruktury, sprzętu i zasobów</w:t>
      </w:r>
      <w:r w:rsidR="00C93F17" w:rsidRPr="00EE3C95">
        <w:rPr>
          <w:sz w:val="24"/>
          <w:szCs w:val="24"/>
          <w:lang w:val="pl-PL"/>
        </w:rPr>
        <w:t>, trwające nie dłużej niż 1 miesiąc</w:t>
      </w:r>
      <w:r w:rsidR="00C21C80" w:rsidRPr="00EE3C95">
        <w:rPr>
          <w:sz w:val="24"/>
          <w:szCs w:val="24"/>
          <w:lang w:val="pl-PL"/>
        </w:rPr>
        <w:t xml:space="preserve">”. Zmiana jest podyktowana </w:t>
      </w:r>
      <w:r w:rsidR="00B061D3">
        <w:rPr>
          <w:sz w:val="24"/>
          <w:szCs w:val="24"/>
          <w:lang w:val="pl-PL"/>
        </w:rPr>
        <w:t>zaistniałą</w:t>
      </w:r>
      <w:r w:rsidR="00C21C80" w:rsidRPr="00EE3C95">
        <w:rPr>
          <w:sz w:val="24"/>
          <w:szCs w:val="24"/>
          <w:lang w:val="pl-PL"/>
        </w:rPr>
        <w:t xml:space="preserve"> sytuacją epidemiczną skutkującą problemami z zapewnieniem odpowiedniej liczby strażaków na zmianie służbowej przy jednoczesnym ograniczeniu godzin pracy lotnisk, co w konsekwencji powoduje obniżanie kategorii ochrony przeciwpożarowej.</w:t>
      </w:r>
    </w:p>
    <w:p w14:paraId="0500CE03" w14:textId="4D23152C" w:rsidR="00FD0930" w:rsidRPr="00EE3C95" w:rsidRDefault="00C844C1" w:rsidP="00F1577A">
      <w:pPr>
        <w:pStyle w:val="Akapitzlist"/>
        <w:widowControl/>
        <w:numPr>
          <w:ilvl w:val="0"/>
          <w:numId w:val="3"/>
        </w:numPr>
        <w:spacing w:after="160"/>
        <w:rPr>
          <w:sz w:val="24"/>
          <w:szCs w:val="24"/>
          <w:lang w:val="pl-PL"/>
        </w:rPr>
      </w:pPr>
      <w:r w:rsidRPr="00EE3C95">
        <w:rPr>
          <w:sz w:val="24"/>
          <w:szCs w:val="24"/>
          <w:lang w:val="pl-PL"/>
        </w:rPr>
        <w:t xml:space="preserve">W </w:t>
      </w:r>
      <w:r w:rsidR="00FD0930" w:rsidRPr="00EE3C95">
        <w:rPr>
          <w:sz w:val="24"/>
          <w:szCs w:val="24"/>
          <w:lang w:val="pl-PL"/>
        </w:rPr>
        <w:t xml:space="preserve">§ 7 ust. 1 pkt 9 zastąpiono dość ogólny </w:t>
      </w:r>
      <w:r w:rsidR="00EF1F8A">
        <w:rPr>
          <w:sz w:val="24"/>
          <w:szCs w:val="24"/>
          <w:lang w:val="pl-PL"/>
        </w:rPr>
        <w:t>prze</w:t>
      </w:r>
      <w:r w:rsidR="00FD0930" w:rsidRPr="00EE3C95">
        <w:rPr>
          <w:sz w:val="24"/>
          <w:szCs w:val="24"/>
          <w:lang w:val="pl-PL"/>
        </w:rPr>
        <w:t>pis: „ograniczeń wysokości zabudowy na lotnisku i w jego otoczeniu” bardziej precyzyjnym: „powierzchni ograniczających przeszkody”.</w:t>
      </w:r>
    </w:p>
    <w:p w14:paraId="17B2D5F7" w14:textId="09BA82CF" w:rsidR="00F1577A" w:rsidRPr="00EE3C95" w:rsidRDefault="00C844C1" w:rsidP="00F1577A">
      <w:pPr>
        <w:pStyle w:val="Akapitzlist"/>
        <w:widowControl/>
        <w:numPr>
          <w:ilvl w:val="0"/>
          <w:numId w:val="3"/>
        </w:numPr>
        <w:spacing w:after="160"/>
        <w:rPr>
          <w:sz w:val="24"/>
          <w:szCs w:val="24"/>
          <w:lang w:val="pl-PL"/>
        </w:rPr>
      </w:pPr>
      <w:r w:rsidRPr="00EE3C95">
        <w:rPr>
          <w:sz w:val="24"/>
          <w:szCs w:val="24"/>
          <w:lang w:val="pl-PL"/>
        </w:rPr>
        <w:t xml:space="preserve">W </w:t>
      </w:r>
      <w:r w:rsidR="00C21C80" w:rsidRPr="00EE3C95">
        <w:rPr>
          <w:sz w:val="24"/>
          <w:szCs w:val="24"/>
          <w:lang w:val="pl-PL"/>
        </w:rPr>
        <w:t>§ 7 ust. 1 do</w:t>
      </w:r>
      <w:r w:rsidR="0063044A">
        <w:rPr>
          <w:sz w:val="24"/>
          <w:szCs w:val="24"/>
          <w:lang w:val="pl-PL"/>
        </w:rPr>
        <w:t>dano</w:t>
      </w:r>
      <w:r w:rsidR="00C21C80" w:rsidRPr="00EE3C95">
        <w:rPr>
          <w:sz w:val="24"/>
          <w:szCs w:val="24"/>
          <w:lang w:val="pl-PL"/>
        </w:rPr>
        <w:t xml:space="preserve"> p</w:t>
      </w:r>
      <w:r w:rsidR="00F1577A" w:rsidRPr="00EE3C95">
        <w:rPr>
          <w:sz w:val="24"/>
          <w:szCs w:val="24"/>
          <w:lang w:val="pl-PL"/>
        </w:rPr>
        <w:t>unkty</w:t>
      </w:r>
      <w:r w:rsidR="00C21C80" w:rsidRPr="00EE3C95">
        <w:rPr>
          <w:sz w:val="24"/>
          <w:szCs w:val="24"/>
          <w:lang w:val="pl-PL"/>
        </w:rPr>
        <w:t xml:space="preserve"> </w:t>
      </w:r>
      <w:r w:rsidR="00102CFF" w:rsidRPr="00EE3C95">
        <w:rPr>
          <w:sz w:val="24"/>
          <w:szCs w:val="24"/>
          <w:lang w:val="pl-PL"/>
        </w:rPr>
        <w:t>10</w:t>
      </w:r>
      <w:r w:rsidR="00FD0930" w:rsidRPr="00EE3C95">
        <w:rPr>
          <w:sz w:val="24"/>
          <w:szCs w:val="24"/>
          <w:lang w:val="pl-PL"/>
        </w:rPr>
        <w:t xml:space="preserve"> i </w:t>
      </w:r>
      <w:r w:rsidR="00C21C80" w:rsidRPr="00EE3C95">
        <w:rPr>
          <w:sz w:val="24"/>
          <w:szCs w:val="24"/>
          <w:lang w:val="pl-PL"/>
        </w:rPr>
        <w:t>1</w:t>
      </w:r>
      <w:r w:rsidR="00102CFF" w:rsidRPr="00EE3C95">
        <w:rPr>
          <w:sz w:val="24"/>
          <w:szCs w:val="24"/>
          <w:lang w:val="pl-PL"/>
        </w:rPr>
        <w:t>1</w:t>
      </w:r>
      <w:r w:rsidR="00C21C80" w:rsidRPr="00EE3C95">
        <w:rPr>
          <w:sz w:val="24"/>
          <w:szCs w:val="24"/>
          <w:lang w:val="pl-PL"/>
        </w:rPr>
        <w:t xml:space="preserve">. Dla jednoznacznego dokonania zmiany kodu referencyjnego </w:t>
      </w:r>
      <w:r w:rsidR="00E27CE4" w:rsidRPr="00EE3C95">
        <w:rPr>
          <w:sz w:val="24"/>
          <w:szCs w:val="24"/>
          <w:lang w:val="pl-PL"/>
        </w:rPr>
        <w:t xml:space="preserve">drogi startowej </w:t>
      </w:r>
      <w:r w:rsidR="00C21C80" w:rsidRPr="00EE3C95">
        <w:rPr>
          <w:sz w:val="24"/>
          <w:szCs w:val="24"/>
          <w:lang w:val="pl-PL"/>
        </w:rPr>
        <w:t>mającego znaczny wpływ na eksploatację lotniska zindywidualizowano zapis dotyczący zmiany tego kodu</w:t>
      </w:r>
      <w:r w:rsidR="0063044A">
        <w:rPr>
          <w:sz w:val="24"/>
          <w:szCs w:val="24"/>
          <w:lang w:val="pl-PL"/>
        </w:rPr>
        <w:t>.</w:t>
      </w:r>
      <w:r w:rsidR="00C21C80" w:rsidRPr="00EE3C95">
        <w:rPr>
          <w:sz w:val="24"/>
          <w:szCs w:val="24"/>
          <w:lang w:val="pl-PL"/>
        </w:rPr>
        <w:t xml:space="preserve"> </w:t>
      </w:r>
      <w:r w:rsidR="0063044A">
        <w:rPr>
          <w:sz w:val="24"/>
          <w:szCs w:val="24"/>
          <w:lang w:val="pl-PL"/>
        </w:rPr>
        <w:t>Z</w:t>
      </w:r>
      <w:r w:rsidR="00C21C80" w:rsidRPr="00EE3C95">
        <w:rPr>
          <w:sz w:val="24"/>
          <w:szCs w:val="24"/>
          <w:lang w:val="pl-PL"/>
        </w:rPr>
        <w:t>e względu na duży wpływ statusu dostępności</w:t>
      </w:r>
      <w:r w:rsidR="00DE4B56" w:rsidRPr="00EE3C95">
        <w:rPr>
          <w:sz w:val="24"/>
          <w:szCs w:val="24"/>
          <w:lang w:val="pl-PL"/>
        </w:rPr>
        <w:t xml:space="preserve"> </w:t>
      </w:r>
      <w:r w:rsidR="00C21C80" w:rsidRPr="00EE3C95">
        <w:rPr>
          <w:sz w:val="24"/>
          <w:szCs w:val="24"/>
          <w:lang w:val="pl-PL"/>
        </w:rPr>
        <w:t>lotniska dla użytkowników na warunki eksploatacyjne i</w:t>
      </w:r>
      <w:r w:rsidR="00020BC0">
        <w:rPr>
          <w:sz w:val="24"/>
          <w:szCs w:val="24"/>
          <w:lang w:val="pl-PL"/>
        </w:rPr>
        <w:t> </w:t>
      </w:r>
      <w:r w:rsidR="00C21C80" w:rsidRPr="00EE3C95">
        <w:rPr>
          <w:sz w:val="24"/>
          <w:szCs w:val="24"/>
          <w:lang w:val="pl-PL"/>
        </w:rPr>
        <w:t>operacyjne lotniska do wykazu istotnych zmian eksploatacyjnych i technicznych cech lotniska został dopisany ten zakres zmiany.</w:t>
      </w:r>
    </w:p>
    <w:p w14:paraId="0B025B06" w14:textId="73B737AE" w:rsidR="006B5D9C" w:rsidRPr="002676D1" w:rsidRDefault="00102CFF" w:rsidP="00DE0418">
      <w:pPr>
        <w:pStyle w:val="Akapitzlist"/>
        <w:widowControl/>
        <w:numPr>
          <w:ilvl w:val="0"/>
          <w:numId w:val="3"/>
        </w:numPr>
        <w:spacing w:after="160"/>
        <w:rPr>
          <w:sz w:val="24"/>
          <w:szCs w:val="24"/>
          <w:lang w:val="pl-PL"/>
        </w:rPr>
      </w:pPr>
      <w:r w:rsidRPr="00637BC1">
        <w:rPr>
          <w:sz w:val="24"/>
          <w:szCs w:val="24"/>
          <w:lang w:val="pl-PL"/>
        </w:rPr>
        <w:t>W projekcie zaproponowano nowe brzmienie</w:t>
      </w:r>
      <w:r w:rsidR="0049519E" w:rsidRPr="00637BC1">
        <w:rPr>
          <w:sz w:val="24"/>
          <w:szCs w:val="24"/>
          <w:lang w:val="pl-PL"/>
        </w:rPr>
        <w:t xml:space="preserve"> </w:t>
      </w:r>
      <w:r w:rsidR="00C21C80" w:rsidRPr="00637BC1">
        <w:rPr>
          <w:sz w:val="24"/>
          <w:szCs w:val="24"/>
          <w:lang w:val="pl-PL"/>
        </w:rPr>
        <w:t xml:space="preserve">§ 8 </w:t>
      </w:r>
      <w:bookmarkStart w:id="3" w:name="_Hlk79063956"/>
      <w:r w:rsidR="00C21C80" w:rsidRPr="00637BC1">
        <w:rPr>
          <w:sz w:val="24"/>
          <w:szCs w:val="24"/>
          <w:lang w:val="pl-PL"/>
        </w:rPr>
        <w:t>ust. 1</w:t>
      </w:r>
      <w:r w:rsidRPr="00637BC1">
        <w:rPr>
          <w:sz w:val="24"/>
          <w:szCs w:val="24"/>
          <w:lang w:val="pl-PL"/>
        </w:rPr>
        <w:t xml:space="preserve">. </w:t>
      </w:r>
      <w:bookmarkEnd w:id="3"/>
      <w:r w:rsidR="0063044A">
        <w:rPr>
          <w:sz w:val="24"/>
          <w:szCs w:val="24"/>
          <w:lang w:val="pl-PL"/>
        </w:rPr>
        <w:t>Mając na uwadze brzmienie</w:t>
      </w:r>
      <w:r w:rsidR="00C21C80" w:rsidRPr="00637BC1">
        <w:rPr>
          <w:sz w:val="24"/>
          <w:szCs w:val="24"/>
          <w:lang w:val="pl-PL"/>
        </w:rPr>
        <w:t xml:space="preserve"> art.</w:t>
      </w:r>
      <w:r w:rsidR="00C21C80" w:rsidRPr="00DE0418">
        <w:rPr>
          <w:sz w:val="24"/>
          <w:szCs w:val="24"/>
          <w:lang w:val="pl-PL"/>
        </w:rPr>
        <w:t xml:space="preserve"> </w:t>
      </w:r>
      <w:r w:rsidR="00C21C80" w:rsidRPr="00637BC1">
        <w:rPr>
          <w:rFonts w:eastAsiaTheme="minorHAnsi"/>
          <w:sz w:val="24"/>
          <w:szCs w:val="24"/>
          <w:lang w:val="pl-PL"/>
        </w:rPr>
        <w:t>87</w:t>
      </w:r>
      <w:r w:rsidR="00C21C80" w:rsidRPr="00DE0418">
        <w:rPr>
          <w:sz w:val="24"/>
          <w:szCs w:val="24"/>
          <w:vertAlign w:val="superscript"/>
          <w:lang w:val="pl-PL"/>
        </w:rPr>
        <w:t>8</w:t>
      </w:r>
      <w:r w:rsidR="00C21C80" w:rsidRPr="00637BC1">
        <w:rPr>
          <w:sz w:val="24"/>
          <w:szCs w:val="24"/>
          <w:lang w:val="pl-PL"/>
        </w:rPr>
        <w:t xml:space="preserve"> ust.</w:t>
      </w:r>
      <w:r w:rsidR="00C844C1" w:rsidRPr="00DE0418">
        <w:rPr>
          <w:szCs w:val="24"/>
          <w:lang w:val="pl-PL"/>
        </w:rPr>
        <w:t xml:space="preserve"> </w:t>
      </w:r>
      <w:r w:rsidR="00C21C80" w:rsidRPr="008E56E0">
        <w:rPr>
          <w:sz w:val="24"/>
          <w:szCs w:val="24"/>
          <w:lang w:val="pl-PL"/>
        </w:rPr>
        <w:t xml:space="preserve">1 pkt 1 i 2 ustawy </w:t>
      </w:r>
      <w:r w:rsidR="00EF1F8A" w:rsidRPr="008E56E0">
        <w:rPr>
          <w:sz w:val="24"/>
          <w:szCs w:val="24"/>
          <w:lang w:val="pl-PL"/>
        </w:rPr>
        <w:t xml:space="preserve">– </w:t>
      </w:r>
      <w:r w:rsidR="00C21C80" w:rsidRPr="008E56E0">
        <w:rPr>
          <w:sz w:val="24"/>
          <w:szCs w:val="24"/>
          <w:lang w:val="pl-PL"/>
        </w:rPr>
        <w:t>Prawo lotnicze</w:t>
      </w:r>
      <w:r w:rsidR="0063044A" w:rsidRPr="008E56E0">
        <w:rPr>
          <w:sz w:val="24"/>
          <w:szCs w:val="24"/>
          <w:lang w:val="pl-PL"/>
        </w:rPr>
        <w:t xml:space="preserve">, </w:t>
      </w:r>
      <w:r w:rsidR="0063044A" w:rsidRPr="00B061D3">
        <w:rPr>
          <w:sz w:val="24"/>
          <w:szCs w:val="24"/>
          <w:lang w:val="pl-PL"/>
        </w:rPr>
        <w:t>zrezygnowano</w:t>
      </w:r>
      <w:r w:rsidR="0063044A" w:rsidRPr="00637BC1">
        <w:rPr>
          <w:sz w:val="24"/>
          <w:szCs w:val="24"/>
          <w:lang w:val="pl-PL"/>
        </w:rPr>
        <w:t xml:space="preserve"> z</w:t>
      </w:r>
      <w:r w:rsidR="0063044A">
        <w:rPr>
          <w:sz w:val="24"/>
          <w:szCs w:val="24"/>
          <w:lang w:val="pl-PL"/>
        </w:rPr>
        <w:t> </w:t>
      </w:r>
      <w:r w:rsidR="0063044A" w:rsidRPr="00637BC1">
        <w:rPr>
          <w:sz w:val="24"/>
          <w:szCs w:val="24"/>
          <w:lang w:val="pl-PL"/>
        </w:rPr>
        <w:t>dotychczasow</w:t>
      </w:r>
      <w:r w:rsidR="0063044A">
        <w:rPr>
          <w:sz w:val="24"/>
          <w:szCs w:val="24"/>
          <w:lang w:val="pl-PL"/>
        </w:rPr>
        <w:t>ych</w:t>
      </w:r>
      <w:r w:rsidR="0063044A" w:rsidRPr="00637BC1">
        <w:rPr>
          <w:sz w:val="24"/>
          <w:szCs w:val="24"/>
          <w:lang w:val="pl-PL"/>
        </w:rPr>
        <w:t xml:space="preserve"> pkt 2 i 3</w:t>
      </w:r>
      <w:r w:rsidR="00C21C80" w:rsidRPr="00020BC0">
        <w:rPr>
          <w:sz w:val="24"/>
          <w:szCs w:val="24"/>
          <w:lang w:val="pl-PL"/>
        </w:rPr>
        <w:t xml:space="preserve">. </w:t>
      </w:r>
      <w:r w:rsidR="0063044A">
        <w:rPr>
          <w:sz w:val="24"/>
          <w:szCs w:val="24"/>
          <w:lang w:val="pl-PL"/>
        </w:rPr>
        <w:t>W</w:t>
      </w:r>
      <w:r w:rsidR="00C21C80" w:rsidRPr="00020BC0">
        <w:rPr>
          <w:sz w:val="24"/>
          <w:szCs w:val="24"/>
          <w:lang w:val="pl-PL"/>
        </w:rPr>
        <w:t xml:space="preserve"> pozostałych punktach została wskazana konieczność aktualizacji dokumentacji rejestracyjnej i jej zakres. Ze względu na częste zmiany w infrastrukturze lotniskowej na lotniskach niezbędna jest aktualizacja dokumentów zawartych w rejestrze lotnisk.</w:t>
      </w:r>
      <w:r w:rsidR="00D04CF4" w:rsidRPr="00020BC0">
        <w:rPr>
          <w:sz w:val="24"/>
          <w:szCs w:val="24"/>
          <w:lang w:val="pl-PL"/>
        </w:rPr>
        <w:t xml:space="preserve"> </w:t>
      </w:r>
      <w:r w:rsidRPr="00020BC0">
        <w:rPr>
          <w:sz w:val="24"/>
          <w:szCs w:val="24"/>
          <w:lang w:val="pl-PL"/>
        </w:rPr>
        <w:t>Dodano również</w:t>
      </w:r>
      <w:r w:rsidR="00D04CF4" w:rsidRPr="00020BC0">
        <w:rPr>
          <w:sz w:val="24"/>
          <w:szCs w:val="24"/>
          <w:lang w:val="pl-PL"/>
        </w:rPr>
        <w:t xml:space="preserve"> pkt 5</w:t>
      </w:r>
      <w:r w:rsidRPr="00020BC0">
        <w:rPr>
          <w:sz w:val="24"/>
          <w:szCs w:val="24"/>
          <w:lang w:val="pl-PL"/>
        </w:rPr>
        <w:t xml:space="preserve"> ustanawiający</w:t>
      </w:r>
      <w:r w:rsidR="00F473E2" w:rsidRPr="00020BC0">
        <w:rPr>
          <w:sz w:val="24"/>
          <w:szCs w:val="24"/>
          <w:lang w:val="pl-PL"/>
        </w:rPr>
        <w:t xml:space="preserve"> obowiązek przekazania Prezesowi Urzędu Lotnictwa Cywilnego przez zakładającego lub zarządzającego lotniskiem nie rzadziej niż raz na 24 miesiące, </w:t>
      </w:r>
      <w:r w:rsidR="00AA099F" w:rsidRPr="00020BC0">
        <w:rPr>
          <w:sz w:val="24"/>
          <w:szCs w:val="24"/>
          <w:lang w:val="pl-PL"/>
        </w:rPr>
        <w:t xml:space="preserve">w formie tabelarycznej </w:t>
      </w:r>
      <w:r w:rsidR="00590C88" w:rsidRPr="00020BC0">
        <w:rPr>
          <w:sz w:val="24"/>
          <w:szCs w:val="24"/>
          <w:lang w:val="pl-PL"/>
        </w:rPr>
        <w:t xml:space="preserve">aktualnych </w:t>
      </w:r>
      <w:r w:rsidR="00F473E2" w:rsidRPr="00020BC0">
        <w:rPr>
          <w:sz w:val="24"/>
          <w:szCs w:val="24"/>
          <w:lang w:val="pl-PL"/>
        </w:rPr>
        <w:t xml:space="preserve">informacji </w:t>
      </w:r>
      <w:r w:rsidR="00590C88" w:rsidRPr="00020BC0">
        <w:rPr>
          <w:sz w:val="24"/>
          <w:szCs w:val="24"/>
          <w:lang w:val="pl-PL"/>
        </w:rPr>
        <w:t xml:space="preserve">o nieruchomościach znajdujących się w granicy lotniska oraz granicy części lotniczej lotniska, wraz z poświadczeniem prawa do dysponowania tych nieruchomości (tj. umowy cywilnoprawnej lub poświadczonego zgodnie z </w:t>
      </w:r>
      <w:r w:rsidR="00884EB7">
        <w:rPr>
          <w:sz w:val="24"/>
          <w:szCs w:val="24"/>
          <w:lang w:val="pl-PL"/>
        </w:rPr>
        <w:t>Kodeksem postępowania administracyjnego</w:t>
      </w:r>
      <w:r w:rsidR="00590C88" w:rsidRPr="00020BC0">
        <w:rPr>
          <w:sz w:val="24"/>
          <w:szCs w:val="24"/>
          <w:lang w:val="pl-PL"/>
        </w:rPr>
        <w:t xml:space="preserve"> aktu notarialnego lub wypisu </w:t>
      </w:r>
      <w:r w:rsidR="00020BC0">
        <w:rPr>
          <w:sz w:val="24"/>
          <w:szCs w:val="24"/>
          <w:lang w:val="pl-PL"/>
        </w:rPr>
        <w:t xml:space="preserve">z </w:t>
      </w:r>
      <w:r w:rsidR="00884EB7">
        <w:rPr>
          <w:sz w:val="24"/>
          <w:szCs w:val="24"/>
          <w:lang w:val="pl-PL"/>
        </w:rPr>
        <w:t>ewidencji</w:t>
      </w:r>
      <w:r w:rsidR="00020BC0">
        <w:rPr>
          <w:sz w:val="24"/>
          <w:szCs w:val="24"/>
          <w:lang w:val="pl-PL"/>
        </w:rPr>
        <w:t xml:space="preserve"> gruntów ważnego do 3 </w:t>
      </w:r>
      <w:r w:rsidR="00590C88" w:rsidRPr="00020BC0">
        <w:rPr>
          <w:sz w:val="24"/>
          <w:szCs w:val="24"/>
          <w:lang w:val="pl-PL"/>
        </w:rPr>
        <w:t xml:space="preserve">miesięcy lub odpisu </w:t>
      </w:r>
      <w:r w:rsidR="00AA099F" w:rsidRPr="00020BC0">
        <w:rPr>
          <w:sz w:val="24"/>
          <w:szCs w:val="24"/>
          <w:lang w:val="pl-PL"/>
        </w:rPr>
        <w:t xml:space="preserve">zwykłego </w:t>
      </w:r>
      <w:r w:rsidR="00590C88" w:rsidRPr="00020BC0">
        <w:rPr>
          <w:sz w:val="24"/>
          <w:szCs w:val="24"/>
          <w:lang w:val="pl-PL"/>
        </w:rPr>
        <w:t>z księgi wieczyste</w:t>
      </w:r>
      <w:r w:rsidR="00020BC0">
        <w:rPr>
          <w:sz w:val="24"/>
          <w:szCs w:val="24"/>
          <w:lang w:val="pl-PL"/>
        </w:rPr>
        <w:t>j ważnego do 6 miesięcy) wraz z </w:t>
      </w:r>
      <w:r w:rsidR="00590C88" w:rsidRPr="00020BC0">
        <w:rPr>
          <w:sz w:val="24"/>
          <w:szCs w:val="24"/>
          <w:lang w:val="pl-PL"/>
        </w:rPr>
        <w:t xml:space="preserve">wyrysem z </w:t>
      </w:r>
      <w:r w:rsidR="00943FC0" w:rsidRPr="00020BC0">
        <w:rPr>
          <w:sz w:val="24"/>
          <w:szCs w:val="24"/>
          <w:lang w:val="pl-PL"/>
        </w:rPr>
        <w:t xml:space="preserve">mapy ewidencyjnej nieruchomości znajdujących się w granicy lotniska oraz granicy części </w:t>
      </w:r>
      <w:r w:rsidR="00AA099F" w:rsidRPr="00020BC0">
        <w:rPr>
          <w:sz w:val="24"/>
          <w:szCs w:val="24"/>
          <w:lang w:val="pl-PL"/>
        </w:rPr>
        <w:t xml:space="preserve">lotniczej </w:t>
      </w:r>
      <w:r w:rsidR="00943FC0" w:rsidRPr="00020BC0">
        <w:rPr>
          <w:sz w:val="24"/>
          <w:szCs w:val="24"/>
          <w:lang w:val="pl-PL"/>
        </w:rPr>
        <w:t xml:space="preserve">lotniska, która zawiera aktualny przebieg tych granic lub oświadczenie o aktualności </w:t>
      </w:r>
      <w:r w:rsidR="00AA099F" w:rsidRPr="00020BC0">
        <w:rPr>
          <w:sz w:val="24"/>
          <w:szCs w:val="24"/>
          <w:lang w:val="pl-PL"/>
        </w:rPr>
        <w:t xml:space="preserve">powyższych </w:t>
      </w:r>
      <w:r w:rsidR="00943FC0" w:rsidRPr="00020BC0">
        <w:rPr>
          <w:sz w:val="24"/>
          <w:szCs w:val="24"/>
          <w:lang w:val="pl-PL"/>
        </w:rPr>
        <w:t>dokumentów</w:t>
      </w:r>
      <w:r w:rsidR="00AA099F" w:rsidRPr="00020BC0">
        <w:rPr>
          <w:sz w:val="24"/>
          <w:szCs w:val="24"/>
          <w:lang w:val="pl-PL"/>
        </w:rPr>
        <w:t xml:space="preserve"> stwierdzających prawo dysponowania nieruchomościami znajdującymi się w granicy lotniska oraz granicy części lotniczej lotniska, jeżeli ich stan prawny nie uległ zmianie</w:t>
      </w:r>
      <w:r w:rsidR="00AA099F">
        <w:rPr>
          <w:lang w:val="pl-PL"/>
        </w:rPr>
        <w:t xml:space="preserve">. </w:t>
      </w:r>
    </w:p>
    <w:p w14:paraId="3A76062B" w14:textId="0AB45697" w:rsidR="00637BC1" w:rsidRPr="00637BC1" w:rsidRDefault="006B5D9C" w:rsidP="00DE0418">
      <w:pPr>
        <w:pStyle w:val="Akapitzlist"/>
        <w:widowControl/>
        <w:numPr>
          <w:ilvl w:val="0"/>
          <w:numId w:val="3"/>
        </w:numPr>
        <w:spacing w:after="160"/>
        <w:rPr>
          <w:sz w:val="24"/>
          <w:szCs w:val="24"/>
          <w:lang w:val="pl-PL"/>
        </w:rPr>
      </w:pPr>
      <w:r w:rsidRPr="00020BC0">
        <w:rPr>
          <w:sz w:val="24"/>
          <w:szCs w:val="24"/>
          <w:lang w:val="pl-PL"/>
        </w:rPr>
        <w:t>Dodatkowo w § 8 zaproponowano dodanie</w:t>
      </w:r>
      <w:r>
        <w:rPr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ust. 1a określającego wymagania</w:t>
      </w:r>
      <w:r w:rsidR="002676D1">
        <w:rPr>
          <w:sz w:val="24"/>
          <w:szCs w:val="24"/>
          <w:lang w:val="pl-PL"/>
        </w:rPr>
        <w:t>, jakie musi spełnić</w:t>
      </w:r>
      <w:r w:rsidR="00637BC1" w:rsidRPr="00637BC1">
        <w:rPr>
          <w:sz w:val="24"/>
          <w:szCs w:val="24"/>
          <w:lang w:val="pl-PL"/>
        </w:rPr>
        <w:t xml:space="preserve"> zarządzając</w:t>
      </w:r>
      <w:r w:rsidR="002676D1">
        <w:rPr>
          <w:sz w:val="24"/>
          <w:szCs w:val="24"/>
          <w:lang w:val="pl-PL"/>
        </w:rPr>
        <w:t>y</w:t>
      </w:r>
      <w:r w:rsidR="00637BC1" w:rsidRPr="00637BC1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 xml:space="preserve">lotniskiem </w:t>
      </w:r>
      <w:r w:rsidR="00637BC1" w:rsidRPr="00637BC1">
        <w:rPr>
          <w:sz w:val="24"/>
          <w:szCs w:val="24"/>
          <w:lang w:val="pl-PL"/>
        </w:rPr>
        <w:t xml:space="preserve">w zakresie przekazywania informacji niezbędnych do </w:t>
      </w:r>
      <w:r w:rsidR="00DE0418">
        <w:rPr>
          <w:sz w:val="24"/>
          <w:szCs w:val="24"/>
          <w:lang w:val="pl-PL"/>
        </w:rPr>
        <w:t>uzyskania zezwolenia</w:t>
      </w:r>
      <w:r w:rsidR="00637BC1" w:rsidRPr="00637BC1">
        <w:rPr>
          <w:sz w:val="24"/>
          <w:szCs w:val="24"/>
          <w:lang w:val="pl-PL"/>
        </w:rPr>
        <w:t xml:space="preserve"> </w:t>
      </w:r>
      <w:r w:rsidR="00DE0418">
        <w:rPr>
          <w:sz w:val="24"/>
          <w:szCs w:val="24"/>
          <w:lang w:val="pl-PL"/>
        </w:rPr>
        <w:t>na</w:t>
      </w:r>
      <w:r w:rsidR="00637BC1" w:rsidRPr="00637BC1">
        <w:rPr>
          <w:sz w:val="24"/>
          <w:szCs w:val="24"/>
          <w:lang w:val="pl-PL"/>
        </w:rPr>
        <w:t xml:space="preserve"> istotną zmianę eksploatacyjnych i technicznych cech lotniska</w:t>
      </w:r>
      <w:r w:rsidR="002676D1">
        <w:rPr>
          <w:sz w:val="24"/>
          <w:szCs w:val="24"/>
          <w:lang w:val="pl-PL"/>
        </w:rPr>
        <w:t xml:space="preserve">. Zgodnie z proponowanym przepisem zarządzający lotniskiem będzie zobowiązany do przekazania Prezesowi Urzędu Lotnictwa Cywilnego </w:t>
      </w:r>
      <w:r w:rsidR="00637BC1">
        <w:rPr>
          <w:sz w:val="24"/>
          <w:szCs w:val="24"/>
          <w:lang w:val="pl-PL"/>
        </w:rPr>
        <w:t>dokumentów</w:t>
      </w:r>
      <w:r w:rsidR="00B62474">
        <w:rPr>
          <w:sz w:val="24"/>
          <w:szCs w:val="24"/>
          <w:lang w:val="pl-PL"/>
        </w:rPr>
        <w:t>,</w:t>
      </w:r>
      <w:r w:rsidR="00020BC0">
        <w:rPr>
          <w:sz w:val="24"/>
          <w:szCs w:val="24"/>
          <w:lang w:val="pl-PL"/>
        </w:rPr>
        <w:t xml:space="preserve"> o których mowa w </w:t>
      </w:r>
      <w:r w:rsidR="00637BC1">
        <w:rPr>
          <w:sz w:val="24"/>
          <w:szCs w:val="24"/>
          <w:lang w:val="pl-PL"/>
        </w:rPr>
        <w:t xml:space="preserve">art. 55 ust 3 ustawy  </w:t>
      </w:r>
      <w:r w:rsidR="00874AF0" w:rsidRPr="00874AF0">
        <w:rPr>
          <w:sz w:val="24"/>
          <w:szCs w:val="24"/>
          <w:lang w:val="pl-PL"/>
        </w:rPr>
        <w:t>–</w:t>
      </w:r>
      <w:r w:rsidR="0043017F">
        <w:rPr>
          <w:sz w:val="24"/>
          <w:szCs w:val="24"/>
          <w:lang w:val="pl-PL"/>
        </w:rPr>
        <w:t xml:space="preserve"> </w:t>
      </w:r>
      <w:bookmarkStart w:id="4" w:name="_GoBack"/>
      <w:bookmarkEnd w:id="4"/>
      <w:r w:rsidR="00637BC1">
        <w:rPr>
          <w:sz w:val="24"/>
          <w:szCs w:val="24"/>
          <w:lang w:val="pl-PL"/>
        </w:rPr>
        <w:t>Prawo lotnicze</w:t>
      </w:r>
      <w:r w:rsidR="002676D1">
        <w:rPr>
          <w:sz w:val="24"/>
          <w:szCs w:val="24"/>
          <w:lang w:val="pl-PL"/>
        </w:rPr>
        <w:t xml:space="preserve"> (pkt 1)</w:t>
      </w:r>
      <w:r w:rsidR="00637BC1">
        <w:rPr>
          <w:sz w:val="24"/>
          <w:szCs w:val="24"/>
          <w:lang w:val="pl-PL"/>
        </w:rPr>
        <w:t>, uzasadnieni</w:t>
      </w:r>
      <w:r w:rsidR="002676D1">
        <w:rPr>
          <w:sz w:val="24"/>
          <w:szCs w:val="24"/>
          <w:lang w:val="pl-PL"/>
        </w:rPr>
        <w:t>a</w:t>
      </w:r>
      <w:r w:rsidR="00DE0418">
        <w:rPr>
          <w:sz w:val="24"/>
          <w:szCs w:val="24"/>
          <w:lang w:val="pl-PL"/>
        </w:rPr>
        <w:t xml:space="preserve"> dotyczące</w:t>
      </w:r>
      <w:r w:rsidR="002676D1">
        <w:rPr>
          <w:sz w:val="24"/>
          <w:szCs w:val="24"/>
          <w:lang w:val="pl-PL"/>
        </w:rPr>
        <w:t>go</w:t>
      </w:r>
      <w:r w:rsidR="00DE0418">
        <w:rPr>
          <w:sz w:val="24"/>
          <w:szCs w:val="24"/>
          <w:lang w:val="pl-PL"/>
        </w:rPr>
        <w:t xml:space="preserve"> </w:t>
      </w:r>
      <w:r w:rsidR="00DE0418">
        <w:rPr>
          <w:sz w:val="24"/>
          <w:szCs w:val="24"/>
          <w:lang w:val="pl-PL"/>
        </w:rPr>
        <w:lastRenderedPageBreak/>
        <w:t>wnioskowanej zmiany</w:t>
      </w:r>
      <w:r w:rsidR="002676D1">
        <w:rPr>
          <w:sz w:val="24"/>
          <w:szCs w:val="24"/>
          <w:lang w:val="pl-PL"/>
        </w:rPr>
        <w:t xml:space="preserve"> (pkt 2)</w:t>
      </w:r>
      <w:r w:rsidR="00637BC1">
        <w:rPr>
          <w:sz w:val="24"/>
          <w:szCs w:val="24"/>
          <w:lang w:val="pl-PL"/>
        </w:rPr>
        <w:t xml:space="preserve">, </w:t>
      </w:r>
      <w:r w:rsidR="00637BC1" w:rsidRPr="00637BC1">
        <w:rPr>
          <w:sz w:val="24"/>
          <w:szCs w:val="24"/>
          <w:lang w:val="pl-PL"/>
        </w:rPr>
        <w:t>analiz</w:t>
      </w:r>
      <w:r w:rsidR="002676D1">
        <w:rPr>
          <w:sz w:val="24"/>
          <w:szCs w:val="24"/>
          <w:lang w:val="pl-PL"/>
        </w:rPr>
        <w:t>y</w:t>
      </w:r>
      <w:r w:rsidR="00637BC1" w:rsidRPr="00637BC1">
        <w:rPr>
          <w:sz w:val="24"/>
          <w:szCs w:val="24"/>
          <w:lang w:val="pl-PL"/>
        </w:rPr>
        <w:t xml:space="preserve"> bezpieczeństwa, o której mowa w przepisach wydanych na podstawie art. 83 ust. 1 ustawy – Prawo lotnicze, określając</w:t>
      </w:r>
      <w:r w:rsidR="002676D1">
        <w:rPr>
          <w:sz w:val="24"/>
          <w:szCs w:val="24"/>
          <w:lang w:val="pl-PL"/>
        </w:rPr>
        <w:t>ej</w:t>
      </w:r>
      <w:r w:rsidR="00637BC1" w:rsidRPr="00637BC1">
        <w:rPr>
          <w:sz w:val="24"/>
          <w:szCs w:val="24"/>
          <w:lang w:val="pl-PL"/>
        </w:rPr>
        <w:t xml:space="preserve"> jednoznacznie, że wnioskowana zmiana nie będzie stanowić niedopuszczalnego zagrożenia dla ruchu statków powietrznych na lotnisku oraz dla ochrony w lotnictwie cywilnym</w:t>
      </w:r>
      <w:r w:rsidR="002676D1">
        <w:rPr>
          <w:sz w:val="24"/>
          <w:szCs w:val="24"/>
          <w:lang w:val="pl-PL"/>
        </w:rPr>
        <w:t xml:space="preserve"> (pkt 3) oraz </w:t>
      </w:r>
      <w:r w:rsidR="00637BC1" w:rsidRPr="00637BC1">
        <w:rPr>
          <w:sz w:val="24"/>
          <w:szCs w:val="24"/>
          <w:lang w:val="pl-PL"/>
        </w:rPr>
        <w:t>pozytywn</w:t>
      </w:r>
      <w:r w:rsidR="002676D1">
        <w:rPr>
          <w:sz w:val="24"/>
          <w:szCs w:val="24"/>
          <w:lang w:val="pl-PL"/>
        </w:rPr>
        <w:t>ej</w:t>
      </w:r>
      <w:r w:rsidR="00637BC1" w:rsidRPr="00637BC1">
        <w:rPr>
          <w:sz w:val="24"/>
          <w:szCs w:val="24"/>
          <w:lang w:val="pl-PL"/>
        </w:rPr>
        <w:t xml:space="preserve"> opini</w:t>
      </w:r>
      <w:r w:rsidR="002676D1">
        <w:rPr>
          <w:sz w:val="24"/>
          <w:szCs w:val="24"/>
          <w:lang w:val="pl-PL"/>
        </w:rPr>
        <w:t>i</w:t>
      </w:r>
      <w:r w:rsidR="00637BC1" w:rsidRPr="00637BC1">
        <w:rPr>
          <w:sz w:val="24"/>
          <w:szCs w:val="24"/>
          <w:lang w:val="pl-PL"/>
        </w:rPr>
        <w:t xml:space="preserve"> instytucji zapewniającej służbę ruchu lotniczego, o ile taka służba funkcjonuje na lotnisku </w:t>
      </w:r>
      <w:r w:rsidR="00874AF0" w:rsidRPr="00874AF0">
        <w:rPr>
          <w:sz w:val="24"/>
          <w:szCs w:val="24"/>
          <w:lang w:val="pl-PL"/>
        </w:rPr>
        <w:t>–</w:t>
      </w:r>
      <w:r w:rsidR="00637BC1" w:rsidRPr="00637BC1">
        <w:rPr>
          <w:sz w:val="24"/>
          <w:szCs w:val="24"/>
          <w:lang w:val="pl-PL"/>
        </w:rPr>
        <w:t xml:space="preserve"> w przypadku zmiany związanej z budową lub montażem obiektów wielkogabarytowych</w:t>
      </w:r>
      <w:r w:rsidR="002676D1">
        <w:rPr>
          <w:sz w:val="24"/>
          <w:szCs w:val="24"/>
          <w:lang w:val="pl-PL"/>
        </w:rPr>
        <w:t xml:space="preserve">, </w:t>
      </w:r>
      <w:r w:rsidR="00637BC1" w:rsidRPr="00637BC1">
        <w:rPr>
          <w:sz w:val="24"/>
          <w:szCs w:val="24"/>
          <w:lang w:val="pl-PL"/>
        </w:rPr>
        <w:t>tzn. w rzucie pionowym o powierzchni większej niż 10 m</w:t>
      </w:r>
      <w:r w:rsidR="00637BC1" w:rsidRPr="00637BC1">
        <w:rPr>
          <w:sz w:val="24"/>
          <w:szCs w:val="24"/>
          <w:vertAlign w:val="superscript"/>
          <w:lang w:val="pl-PL"/>
        </w:rPr>
        <w:t>2</w:t>
      </w:r>
      <w:r w:rsidR="00B061D3">
        <w:rPr>
          <w:sz w:val="24"/>
          <w:szCs w:val="24"/>
          <w:vertAlign w:val="superscript"/>
          <w:lang w:val="pl-PL"/>
        </w:rPr>
        <w:t xml:space="preserve"> </w:t>
      </w:r>
      <w:r w:rsidR="002676D1">
        <w:rPr>
          <w:sz w:val="24"/>
          <w:szCs w:val="24"/>
          <w:lang w:val="pl-PL"/>
        </w:rPr>
        <w:t>(pkt 4)</w:t>
      </w:r>
      <w:r w:rsidR="00637BC1" w:rsidRPr="00637BC1">
        <w:rPr>
          <w:sz w:val="24"/>
          <w:szCs w:val="24"/>
          <w:lang w:val="pl-PL"/>
        </w:rPr>
        <w:t>.</w:t>
      </w:r>
      <w:r w:rsidR="002676D1">
        <w:rPr>
          <w:sz w:val="24"/>
          <w:szCs w:val="24"/>
          <w:lang w:val="pl-PL"/>
        </w:rPr>
        <w:t xml:space="preserve"> Dodanie wymagania w zakresie przedłożenia przez</w:t>
      </w:r>
      <w:r w:rsidR="00637BC1" w:rsidRPr="00637BC1">
        <w:rPr>
          <w:sz w:val="24"/>
          <w:szCs w:val="24"/>
          <w:lang w:val="pl-PL"/>
        </w:rPr>
        <w:t xml:space="preserve"> </w:t>
      </w:r>
      <w:r w:rsidR="002676D1">
        <w:rPr>
          <w:sz w:val="24"/>
          <w:szCs w:val="24"/>
          <w:lang w:val="pl-PL"/>
        </w:rPr>
        <w:t>zarządzającego lotniskiem</w:t>
      </w:r>
      <w:r w:rsidR="00637BC1" w:rsidRPr="00637BC1">
        <w:rPr>
          <w:sz w:val="24"/>
          <w:szCs w:val="24"/>
          <w:lang w:val="pl-PL"/>
        </w:rPr>
        <w:t xml:space="preserve"> analiz</w:t>
      </w:r>
      <w:r w:rsidR="002676D1">
        <w:rPr>
          <w:sz w:val="24"/>
          <w:szCs w:val="24"/>
          <w:lang w:val="pl-PL"/>
        </w:rPr>
        <w:t>y</w:t>
      </w:r>
      <w:r w:rsidR="00637BC1" w:rsidRPr="00637BC1">
        <w:rPr>
          <w:sz w:val="24"/>
          <w:szCs w:val="24"/>
          <w:lang w:val="pl-PL"/>
        </w:rPr>
        <w:t xml:space="preserve"> bezpieczeństwa wnioskowanej istotnej zmiany </w:t>
      </w:r>
      <w:r w:rsidR="00020BC0">
        <w:rPr>
          <w:sz w:val="24"/>
          <w:szCs w:val="24"/>
          <w:lang w:val="pl-PL"/>
        </w:rPr>
        <w:t>eksploatacyjnych i </w:t>
      </w:r>
      <w:r w:rsidR="002676D1">
        <w:rPr>
          <w:sz w:val="24"/>
          <w:szCs w:val="24"/>
          <w:lang w:val="pl-PL"/>
        </w:rPr>
        <w:t xml:space="preserve">technicznych cech lotniska </w:t>
      </w:r>
      <w:r w:rsidR="00637BC1" w:rsidRPr="00637BC1">
        <w:rPr>
          <w:sz w:val="24"/>
          <w:szCs w:val="24"/>
          <w:lang w:val="pl-PL"/>
        </w:rPr>
        <w:t xml:space="preserve">oraz uzyskania pozytywnej opinii instytucji zapewniającej służbę ruchu lotniczego, w ocenie projektodawcy, istotnie przyczyni się do wzrostu bezpieczeństwa ruchu statków powietrznych na lotnisku. Ponadto uwzględnienie w pkt </w:t>
      </w:r>
      <w:r w:rsidR="00637BC1">
        <w:rPr>
          <w:sz w:val="24"/>
          <w:szCs w:val="24"/>
          <w:lang w:val="pl-PL"/>
        </w:rPr>
        <w:t>3</w:t>
      </w:r>
      <w:r w:rsidR="00637BC1" w:rsidRPr="00637BC1">
        <w:rPr>
          <w:sz w:val="24"/>
          <w:szCs w:val="24"/>
          <w:lang w:val="pl-PL"/>
        </w:rPr>
        <w:t xml:space="preserve"> konieczności przeprowadzenia analizy bezpieczeństwa pod kątem ochrony w lotnictwie cywilnym jest istotne w świetle zadania PQ 8.181 określonego w ramach Planu Działań Naprawczych w następstwie aud</w:t>
      </w:r>
      <w:r w:rsidR="00020BC0">
        <w:rPr>
          <w:sz w:val="24"/>
          <w:szCs w:val="24"/>
          <w:lang w:val="pl-PL"/>
        </w:rPr>
        <w:t>ytu ICAO USOAP CMA w 2018 r., a </w:t>
      </w:r>
      <w:r w:rsidR="00637BC1" w:rsidRPr="00637BC1">
        <w:rPr>
          <w:sz w:val="24"/>
          <w:szCs w:val="24"/>
          <w:lang w:val="pl-PL"/>
        </w:rPr>
        <w:t xml:space="preserve">odnoszącego się do konieczności wdrożenia przez Polskę skoordynowanych ustaleń pomiędzy zainteresowanymi podmiotami lotniczymi, </w:t>
      </w:r>
      <w:r w:rsidR="002676D1">
        <w:rPr>
          <w:sz w:val="24"/>
          <w:szCs w:val="24"/>
          <w:lang w:val="pl-PL"/>
        </w:rPr>
        <w:t>Prezesem Urzędu Lotnictwa Cywilnego</w:t>
      </w:r>
      <w:r w:rsidR="00637BC1" w:rsidRPr="00637BC1">
        <w:rPr>
          <w:sz w:val="24"/>
          <w:szCs w:val="24"/>
          <w:lang w:val="pl-PL"/>
        </w:rPr>
        <w:t xml:space="preserve"> i </w:t>
      </w:r>
      <w:r w:rsidR="002676D1">
        <w:rPr>
          <w:sz w:val="24"/>
          <w:szCs w:val="24"/>
          <w:lang w:val="pl-PL"/>
        </w:rPr>
        <w:t>zarządzających</w:t>
      </w:r>
      <w:r w:rsidR="00637BC1" w:rsidRPr="00637BC1">
        <w:rPr>
          <w:sz w:val="24"/>
          <w:szCs w:val="24"/>
          <w:lang w:val="pl-PL"/>
        </w:rPr>
        <w:t xml:space="preserve"> lotnisk</w:t>
      </w:r>
      <w:r w:rsidR="002676D1">
        <w:rPr>
          <w:sz w:val="24"/>
          <w:szCs w:val="24"/>
          <w:lang w:val="pl-PL"/>
        </w:rPr>
        <w:t>ami,</w:t>
      </w:r>
      <w:r w:rsidR="00637BC1" w:rsidRPr="00637BC1">
        <w:rPr>
          <w:sz w:val="24"/>
          <w:szCs w:val="24"/>
          <w:lang w:val="pl-PL"/>
        </w:rPr>
        <w:t xml:space="preserve"> w celu optymalizacji środków ochrony lotnictwa cywilnego w państwie i zapewnienia, że międzynarodowe środki ochrony lotnictwa cywilnego zostaną włączone w procesie projektowania i budowy obiektów oraz urządzeń lotniskowych.</w:t>
      </w:r>
      <w:r w:rsidR="001A1CF7">
        <w:rPr>
          <w:sz w:val="24"/>
          <w:szCs w:val="24"/>
          <w:lang w:val="pl-PL"/>
        </w:rPr>
        <w:t xml:space="preserve"> Proponowany przepis stanowi element realizacji upoważnienia ustawowego, o którym mowa w art. 63 pkt 5 ustawy – Prawo lotnicze</w:t>
      </w:r>
      <w:r w:rsidR="009E196E">
        <w:rPr>
          <w:sz w:val="24"/>
          <w:szCs w:val="24"/>
          <w:lang w:val="pl-PL"/>
        </w:rPr>
        <w:t>,</w:t>
      </w:r>
      <w:r w:rsidR="001A1CF7">
        <w:rPr>
          <w:sz w:val="24"/>
          <w:szCs w:val="24"/>
          <w:lang w:val="pl-PL"/>
        </w:rPr>
        <w:t xml:space="preserve"> określający wymagania, jakie muszą spełnić zarządzający lotniskami w przypadku składania wniosku o uzyskanie zezwolenia na dokonanie istotnych zmian eksploatacyjnych i technicznych cech lotniska, o którym mowa w art. 61 ust. 1 ustawy – Prawo lotnicze</w:t>
      </w:r>
      <w:r w:rsidR="00884EB7">
        <w:rPr>
          <w:sz w:val="24"/>
          <w:szCs w:val="24"/>
          <w:lang w:val="pl-PL"/>
        </w:rPr>
        <w:t>.</w:t>
      </w:r>
    </w:p>
    <w:p w14:paraId="05EC5C7D" w14:textId="4C820844" w:rsidR="00CE3041" w:rsidRPr="00E244DC" w:rsidRDefault="002414DD" w:rsidP="00EF153B">
      <w:pPr>
        <w:pStyle w:val="Akapitzlist"/>
        <w:widowControl/>
        <w:numPr>
          <w:ilvl w:val="0"/>
          <w:numId w:val="3"/>
        </w:numPr>
        <w:spacing w:after="160"/>
        <w:rPr>
          <w:bCs w:val="0"/>
          <w:sz w:val="24"/>
          <w:szCs w:val="24"/>
          <w:lang w:val="pl-PL"/>
        </w:rPr>
      </w:pPr>
      <w:r w:rsidRPr="002676D1">
        <w:rPr>
          <w:sz w:val="24"/>
          <w:szCs w:val="24"/>
          <w:lang w:val="pl-PL"/>
        </w:rPr>
        <w:t>Zmieniono załącznik nr 2 do rozporządzenia. Z</w:t>
      </w:r>
      <w:r w:rsidR="00B14E66" w:rsidRPr="002676D1">
        <w:rPr>
          <w:sz w:val="24"/>
          <w:szCs w:val="24"/>
          <w:lang w:val="pl-PL"/>
        </w:rPr>
        <w:t>miany wynikają z koniecznoś</w:t>
      </w:r>
      <w:r w:rsidR="005A668F" w:rsidRPr="002676D1">
        <w:rPr>
          <w:sz w:val="24"/>
          <w:szCs w:val="24"/>
          <w:lang w:val="pl-PL"/>
        </w:rPr>
        <w:t>ci</w:t>
      </w:r>
      <w:r w:rsidR="00B14E66" w:rsidRPr="002676D1">
        <w:rPr>
          <w:sz w:val="24"/>
          <w:szCs w:val="24"/>
          <w:lang w:val="pl-PL"/>
        </w:rPr>
        <w:t xml:space="preserve"> </w:t>
      </w:r>
      <w:r w:rsidR="00EF1F8A">
        <w:rPr>
          <w:sz w:val="24"/>
          <w:szCs w:val="24"/>
          <w:lang w:val="pl-PL"/>
        </w:rPr>
        <w:t>uwzględnienia</w:t>
      </w:r>
      <w:r w:rsidR="00EF1F8A" w:rsidRPr="002676D1">
        <w:rPr>
          <w:sz w:val="24"/>
          <w:szCs w:val="24"/>
          <w:lang w:val="pl-PL"/>
        </w:rPr>
        <w:t xml:space="preserve"> </w:t>
      </w:r>
      <w:r w:rsidR="00434C89" w:rsidRPr="002676D1">
        <w:rPr>
          <w:sz w:val="24"/>
          <w:szCs w:val="24"/>
          <w:lang w:val="pl-PL"/>
        </w:rPr>
        <w:t xml:space="preserve">zmian </w:t>
      </w:r>
      <w:r w:rsidR="00EF1F8A">
        <w:rPr>
          <w:sz w:val="24"/>
          <w:szCs w:val="24"/>
          <w:lang w:val="pl-PL"/>
        </w:rPr>
        <w:t xml:space="preserve">wprowadzanych </w:t>
      </w:r>
      <w:r w:rsidR="00434C89" w:rsidRPr="002676D1">
        <w:rPr>
          <w:sz w:val="24"/>
          <w:szCs w:val="24"/>
          <w:lang w:val="pl-PL"/>
        </w:rPr>
        <w:t xml:space="preserve">w treści </w:t>
      </w:r>
      <w:r w:rsidR="00EF1F8A">
        <w:rPr>
          <w:sz w:val="24"/>
          <w:szCs w:val="24"/>
          <w:lang w:val="pl-PL"/>
        </w:rPr>
        <w:t>zmienianego</w:t>
      </w:r>
      <w:r w:rsidR="00EF1F8A" w:rsidRPr="002676D1">
        <w:rPr>
          <w:sz w:val="24"/>
          <w:szCs w:val="24"/>
          <w:lang w:val="pl-PL"/>
        </w:rPr>
        <w:t xml:space="preserve"> </w:t>
      </w:r>
      <w:r w:rsidR="00434C89" w:rsidRPr="002676D1">
        <w:rPr>
          <w:sz w:val="24"/>
          <w:szCs w:val="24"/>
          <w:lang w:val="pl-PL"/>
        </w:rPr>
        <w:t xml:space="preserve">rozporządzenia. </w:t>
      </w:r>
      <w:bookmarkStart w:id="5" w:name="mip53124054"/>
      <w:bookmarkEnd w:id="5"/>
    </w:p>
    <w:p w14:paraId="59CE04FB" w14:textId="47D1AA4A" w:rsidR="00E244DC" w:rsidRPr="00C3342F" w:rsidRDefault="00E244DC" w:rsidP="00C3342F">
      <w:pPr>
        <w:spacing w:after="160"/>
        <w:rPr>
          <w:b/>
          <w:szCs w:val="24"/>
        </w:rPr>
      </w:pPr>
      <w:r w:rsidRPr="00C3342F">
        <w:rPr>
          <w:b/>
          <w:szCs w:val="24"/>
        </w:rPr>
        <w:t>IV.</w:t>
      </w:r>
      <w:r w:rsidR="00A95911" w:rsidRPr="00A95911">
        <w:rPr>
          <w:b/>
          <w:szCs w:val="24"/>
        </w:rPr>
        <w:tab/>
      </w:r>
      <w:r w:rsidRPr="00C3342F">
        <w:rPr>
          <w:b/>
          <w:szCs w:val="24"/>
        </w:rPr>
        <w:t>Przepisy przejściowe</w:t>
      </w:r>
      <w:r>
        <w:rPr>
          <w:b/>
          <w:szCs w:val="24"/>
        </w:rPr>
        <w:t xml:space="preserve"> i dostosowujące oraz</w:t>
      </w:r>
      <w:r w:rsidRPr="00C3342F">
        <w:rPr>
          <w:b/>
          <w:szCs w:val="24"/>
        </w:rPr>
        <w:t xml:space="preserve"> przepis końcowy</w:t>
      </w:r>
    </w:p>
    <w:p w14:paraId="0F634CA3" w14:textId="7E102AC5" w:rsidR="00675189" w:rsidRDefault="00675189">
      <w:pPr>
        <w:spacing w:after="160"/>
        <w:rPr>
          <w:szCs w:val="24"/>
        </w:rPr>
      </w:pPr>
      <w:r>
        <w:rPr>
          <w:szCs w:val="24"/>
        </w:rPr>
        <w:t xml:space="preserve">Przepisy przejściowe określają, że </w:t>
      </w:r>
      <w:r w:rsidRPr="00675189">
        <w:rPr>
          <w:szCs w:val="24"/>
        </w:rPr>
        <w:t>spraw</w:t>
      </w:r>
      <w:r>
        <w:rPr>
          <w:szCs w:val="24"/>
        </w:rPr>
        <w:t>y</w:t>
      </w:r>
      <w:r w:rsidRPr="00675189">
        <w:rPr>
          <w:szCs w:val="24"/>
        </w:rPr>
        <w:t xml:space="preserve"> dotycząc</w:t>
      </w:r>
      <w:r>
        <w:rPr>
          <w:szCs w:val="24"/>
        </w:rPr>
        <w:t>e</w:t>
      </w:r>
      <w:r w:rsidRPr="00675189">
        <w:rPr>
          <w:szCs w:val="24"/>
        </w:rPr>
        <w:t xml:space="preserve"> aktualizacji dokumentacji rejestru lotnisk </w:t>
      </w:r>
      <w:r w:rsidR="002676D1" w:rsidRPr="002676D1">
        <w:rPr>
          <w:szCs w:val="24"/>
        </w:rPr>
        <w:t xml:space="preserve">oraz wydania zezwolenia na dokonanie istotnych zmian eksploatacyjnych i technicznych cech lotniska </w:t>
      </w:r>
      <w:r w:rsidRPr="00675189">
        <w:rPr>
          <w:szCs w:val="24"/>
        </w:rPr>
        <w:t>wszczęt</w:t>
      </w:r>
      <w:r>
        <w:rPr>
          <w:szCs w:val="24"/>
        </w:rPr>
        <w:t>e</w:t>
      </w:r>
      <w:r w:rsidRPr="00675189">
        <w:rPr>
          <w:szCs w:val="24"/>
        </w:rPr>
        <w:t xml:space="preserve"> i niezakończon</w:t>
      </w:r>
      <w:r w:rsidR="00E8663E">
        <w:rPr>
          <w:szCs w:val="24"/>
        </w:rPr>
        <w:t>e</w:t>
      </w:r>
      <w:r w:rsidRPr="00675189">
        <w:rPr>
          <w:szCs w:val="24"/>
        </w:rPr>
        <w:t xml:space="preserve"> </w:t>
      </w:r>
      <w:r>
        <w:rPr>
          <w:szCs w:val="24"/>
        </w:rPr>
        <w:t xml:space="preserve">przed wejściem w życie projektowanych przepisów będą rozpatrywane według </w:t>
      </w:r>
      <w:r w:rsidRPr="00675189">
        <w:rPr>
          <w:szCs w:val="24"/>
        </w:rPr>
        <w:t>przepis</w:t>
      </w:r>
      <w:r>
        <w:rPr>
          <w:szCs w:val="24"/>
        </w:rPr>
        <w:t>ów</w:t>
      </w:r>
      <w:r w:rsidRPr="00675189">
        <w:rPr>
          <w:szCs w:val="24"/>
        </w:rPr>
        <w:t xml:space="preserve"> dotychczaso</w:t>
      </w:r>
      <w:r>
        <w:rPr>
          <w:szCs w:val="24"/>
        </w:rPr>
        <w:t>wych.</w:t>
      </w:r>
    </w:p>
    <w:p w14:paraId="6BBCA7AD" w14:textId="4D57B965" w:rsidR="00E244DC" w:rsidRDefault="00675189">
      <w:pPr>
        <w:spacing w:after="160"/>
        <w:rPr>
          <w:szCs w:val="24"/>
        </w:rPr>
      </w:pPr>
      <w:r>
        <w:rPr>
          <w:szCs w:val="24"/>
        </w:rPr>
        <w:t xml:space="preserve">Jednocześnie </w:t>
      </w:r>
      <w:r w:rsidR="002676D1">
        <w:rPr>
          <w:szCs w:val="24"/>
        </w:rPr>
        <w:t>ze względu na konieczność dostosowania rejestru lotnisk do nowych wymagań zobowiązano zarządzających lotniskami</w:t>
      </w:r>
      <w:r w:rsidR="0066741D">
        <w:rPr>
          <w:szCs w:val="24"/>
        </w:rPr>
        <w:t xml:space="preserve"> </w:t>
      </w:r>
      <w:r w:rsidR="002676D1">
        <w:rPr>
          <w:szCs w:val="24"/>
        </w:rPr>
        <w:t>do dostosowania d</w:t>
      </w:r>
      <w:r w:rsidR="0066741D">
        <w:rPr>
          <w:szCs w:val="24"/>
        </w:rPr>
        <w:t>okument</w:t>
      </w:r>
      <w:r w:rsidR="002676D1">
        <w:rPr>
          <w:szCs w:val="24"/>
        </w:rPr>
        <w:t xml:space="preserve">acji rejestrowej do </w:t>
      </w:r>
      <w:r w:rsidR="00C3342F">
        <w:rPr>
          <w:szCs w:val="24"/>
        </w:rPr>
        <w:t xml:space="preserve">zmienionych wymagań </w:t>
      </w:r>
      <w:r w:rsidR="0066741D">
        <w:rPr>
          <w:szCs w:val="24"/>
        </w:rPr>
        <w:t>w terminie 12 miesięcy od dnia wejścia w życie rozporządzenia.</w:t>
      </w:r>
    </w:p>
    <w:p w14:paraId="4AD3E51A" w14:textId="6D6A4357" w:rsidR="0066741D" w:rsidRDefault="00C3342F" w:rsidP="00C3342F">
      <w:pPr>
        <w:spacing w:after="160"/>
        <w:rPr>
          <w:szCs w:val="24"/>
        </w:rPr>
      </w:pPr>
      <w:r>
        <w:rPr>
          <w:szCs w:val="24"/>
        </w:rPr>
        <w:t>Ponadto zobligowano</w:t>
      </w:r>
      <w:r w:rsidR="0066741D">
        <w:rPr>
          <w:szCs w:val="24"/>
        </w:rPr>
        <w:t xml:space="preserve"> Prezes</w:t>
      </w:r>
      <w:r>
        <w:rPr>
          <w:szCs w:val="24"/>
        </w:rPr>
        <w:t xml:space="preserve">a </w:t>
      </w:r>
      <w:r w:rsidR="0066741D">
        <w:rPr>
          <w:szCs w:val="24"/>
        </w:rPr>
        <w:t xml:space="preserve">Urzędu Lotnictwa Cywilnego </w:t>
      </w:r>
      <w:r>
        <w:rPr>
          <w:szCs w:val="24"/>
        </w:rPr>
        <w:t xml:space="preserve">do </w:t>
      </w:r>
      <w:r w:rsidR="0066741D">
        <w:rPr>
          <w:szCs w:val="24"/>
        </w:rPr>
        <w:t>dostosowani</w:t>
      </w:r>
      <w:r>
        <w:rPr>
          <w:szCs w:val="24"/>
        </w:rPr>
        <w:t>a</w:t>
      </w:r>
      <w:r w:rsidR="0066741D">
        <w:rPr>
          <w:szCs w:val="24"/>
        </w:rPr>
        <w:t xml:space="preserve"> rejestru </w:t>
      </w:r>
      <w:r w:rsidR="002676D1">
        <w:rPr>
          <w:szCs w:val="24"/>
        </w:rPr>
        <w:t xml:space="preserve">lotnisk </w:t>
      </w:r>
      <w:r w:rsidR="0066741D">
        <w:rPr>
          <w:szCs w:val="24"/>
        </w:rPr>
        <w:t xml:space="preserve">do wymagań określonych w przedmiotowym rozporządzeniu w terminie 6 miesięcy od dnia </w:t>
      </w:r>
      <w:r>
        <w:rPr>
          <w:szCs w:val="24"/>
        </w:rPr>
        <w:t>otrzymania</w:t>
      </w:r>
      <w:r w:rsidR="0066741D">
        <w:rPr>
          <w:szCs w:val="24"/>
        </w:rPr>
        <w:t xml:space="preserve"> </w:t>
      </w:r>
      <w:r>
        <w:rPr>
          <w:szCs w:val="24"/>
        </w:rPr>
        <w:t xml:space="preserve">od </w:t>
      </w:r>
      <w:r w:rsidR="0066741D">
        <w:rPr>
          <w:szCs w:val="24"/>
        </w:rPr>
        <w:t xml:space="preserve">zarządzających </w:t>
      </w:r>
      <w:r w:rsidR="002676D1">
        <w:rPr>
          <w:szCs w:val="24"/>
        </w:rPr>
        <w:t>lotniskami</w:t>
      </w:r>
      <w:r>
        <w:rPr>
          <w:szCs w:val="24"/>
        </w:rPr>
        <w:t xml:space="preserve"> zaktualizowanej dokumentacji</w:t>
      </w:r>
      <w:r w:rsidR="0066741D">
        <w:rPr>
          <w:szCs w:val="24"/>
        </w:rPr>
        <w:t>.</w:t>
      </w:r>
    </w:p>
    <w:p w14:paraId="7A63E146" w14:textId="319BB3EF" w:rsidR="00E244DC" w:rsidRPr="00E244DC" w:rsidRDefault="00542D9B" w:rsidP="00C3342F">
      <w:pPr>
        <w:spacing w:after="160"/>
        <w:rPr>
          <w:szCs w:val="24"/>
        </w:rPr>
      </w:pPr>
      <w:r w:rsidRPr="00542D9B">
        <w:rPr>
          <w:szCs w:val="24"/>
        </w:rPr>
        <w:t xml:space="preserve">Zgodnie z intencją projektodawcy ujętą w § </w:t>
      </w:r>
      <w:r>
        <w:rPr>
          <w:szCs w:val="24"/>
        </w:rPr>
        <w:t>3</w:t>
      </w:r>
      <w:r w:rsidRPr="00542D9B">
        <w:rPr>
          <w:szCs w:val="24"/>
        </w:rPr>
        <w:t xml:space="preserve"> projektowanego rozporządzenia </w:t>
      </w:r>
      <w:r w:rsidR="00E244DC">
        <w:rPr>
          <w:szCs w:val="24"/>
        </w:rPr>
        <w:t xml:space="preserve">wejdzie </w:t>
      </w:r>
      <w:r>
        <w:rPr>
          <w:szCs w:val="24"/>
        </w:rPr>
        <w:t xml:space="preserve">ono </w:t>
      </w:r>
      <w:r w:rsidR="00020BC0">
        <w:rPr>
          <w:szCs w:val="24"/>
        </w:rPr>
        <w:t>w </w:t>
      </w:r>
      <w:r w:rsidR="00E244DC">
        <w:rPr>
          <w:szCs w:val="24"/>
        </w:rPr>
        <w:t xml:space="preserve">życie po upływie 14 dni od dnia ogłoszenia, </w:t>
      </w:r>
      <w:r w:rsidR="00E244DC" w:rsidRPr="00E244DC">
        <w:rPr>
          <w:szCs w:val="24"/>
        </w:rPr>
        <w:t xml:space="preserve">stosownie do art. 4 ust. 1 ustawy z dnia 20 lipca </w:t>
      </w:r>
      <w:r w:rsidR="00E244DC" w:rsidRPr="00E244DC">
        <w:rPr>
          <w:szCs w:val="24"/>
        </w:rPr>
        <w:lastRenderedPageBreak/>
        <w:t>2000 r. o ogłaszaniu aktów normatywnych oraz niektórych innych a</w:t>
      </w:r>
      <w:r w:rsidR="00020BC0">
        <w:rPr>
          <w:szCs w:val="24"/>
        </w:rPr>
        <w:t>któw prawnych (Dz. U. z </w:t>
      </w:r>
      <w:r w:rsidR="00E244DC" w:rsidRPr="00E244DC">
        <w:rPr>
          <w:szCs w:val="24"/>
        </w:rPr>
        <w:t>2019 r. poz. 1461).</w:t>
      </w:r>
    </w:p>
    <w:p w14:paraId="57A4EBAB" w14:textId="517EA3CF" w:rsidR="0009689F" w:rsidRPr="00EE3C95" w:rsidRDefault="0009689F" w:rsidP="0009689F">
      <w:pPr>
        <w:pStyle w:val="NIEARTTEKSTtekstnieartykuowanynppodstprawnarozplubpreambua"/>
        <w:tabs>
          <w:tab w:val="left" w:pos="567"/>
        </w:tabs>
        <w:spacing w:before="0" w:after="120" w:line="288" w:lineRule="auto"/>
        <w:ind w:left="567" w:hanging="567"/>
        <w:rPr>
          <w:rStyle w:val="Ppogrubienie"/>
          <w:rFonts w:ascii="Times New Roman" w:hAnsi="Times New Roman" w:cs="Times New Roman"/>
          <w:szCs w:val="24"/>
        </w:rPr>
      </w:pPr>
      <w:r w:rsidRPr="00EE3C95">
        <w:rPr>
          <w:rStyle w:val="Ppogrubienie"/>
          <w:rFonts w:ascii="Times New Roman" w:hAnsi="Times New Roman" w:cs="Times New Roman"/>
          <w:szCs w:val="24"/>
        </w:rPr>
        <w:t>V.</w:t>
      </w:r>
      <w:r w:rsidRPr="00EE3C95">
        <w:rPr>
          <w:rStyle w:val="Ppogrubienie"/>
          <w:rFonts w:ascii="Times New Roman" w:hAnsi="Times New Roman" w:cs="Times New Roman"/>
          <w:szCs w:val="24"/>
        </w:rPr>
        <w:tab/>
        <w:t>Przewidywane skutki finansowe i prawne wejścia w życie rozporządzenia</w:t>
      </w:r>
    </w:p>
    <w:p w14:paraId="6CF1EB2A" w14:textId="025F2E9E" w:rsidR="0009689F" w:rsidRPr="00B04DB2" w:rsidRDefault="0009689F" w:rsidP="00AA0908">
      <w:pPr>
        <w:pStyle w:val="NIEARTTEKSTtekstnieartykuowanynppodstprawnarozplubpreambua"/>
        <w:spacing w:before="0" w:after="120" w:line="288" w:lineRule="auto"/>
        <w:ind w:firstLine="0"/>
        <w:rPr>
          <w:rFonts w:ascii="Times New Roman" w:hAnsi="Times New Roman" w:cs="Times New Roman"/>
          <w:szCs w:val="24"/>
        </w:rPr>
      </w:pPr>
      <w:r w:rsidRPr="008C2A27">
        <w:rPr>
          <w:rFonts w:ascii="Times New Roman" w:hAnsi="Times New Roman" w:cs="Times New Roman"/>
          <w:szCs w:val="24"/>
        </w:rPr>
        <w:t xml:space="preserve">Wejście w życie rozporządzenia zmieniającego rozporządzenie wydane na podstawie art. </w:t>
      </w:r>
      <w:r w:rsidR="00D35102" w:rsidRPr="008C2A27">
        <w:rPr>
          <w:rFonts w:ascii="Times New Roman" w:hAnsi="Times New Roman" w:cs="Times New Roman"/>
          <w:szCs w:val="24"/>
        </w:rPr>
        <w:t xml:space="preserve">63 </w:t>
      </w:r>
      <w:r w:rsidRPr="00B04DB2">
        <w:rPr>
          <w:rFonts w:ascii="Times New Roman" w:hAnsi="Times New Roman" w:cs="Times New Roman"/>
          <w:szCs w:val="24"/>
        </w:rPr>
        <w:t>ustawy − Prawo lotnicze nie powoduje dodatkowych obciążeń finansowych dla zarządzających lotniskami ani dla innych podmiotów.</w:t>
      </w:r>
    </w:p>
    <w:p w14:paraId="17D7A79E" w14:textId="5E184A56" w:rsidR="0009689F" w:rsidRPr="008C5D5E" w:rsidRDefault="0009689F" w:rsidP="00AA0908">
      <w:pPr>
        <w:pStyle w:val="NIEARTTEKSTtekstnieartykuowanynppodstprawnarozplubpreambua"/>
        <w:spacing w:before="0" w:after="120" w:line="288" w:lineRule="auto"/>
        <w:ind w:firstLine="0"/>
        <w:rPr>
          <w:rFonts w:ascii="Times New Roman" w:hAnsi="Times New Roman" w:cs="Times New Roman"/>
          <w:szCs w:val="24"/>
        </w:rPr>
      </w:pPr>
      <w:r w:rsidRPr="00B04DB2">
        <w:rPr>
          <w:rFonts w:ascii="Times New Roman" w:hAnsi="Times New Roman" w:cs="Times New Roman"/>
          <w:szCs w:val="24"/>
        </w:rPr>
        <w:t xml:space="preserve">Rozwiązania zawarte w projekcie rozporządzenia nie będą miały wpływu na działalność </w:t>
      </w:r>
      <w:proofErr w:type="spellStart"/>
      <w:r w:rsidRPr="00B04DB2">
        <w:rPr>
          <w:rFonts w:ascii="Times New Roman" w:hAnsi="Times New Roman" w:cs="Times New Roman"/>
          <w:szCs w:val="24"/>
        </w:rPr>
        <w:t>mikroprzedsiębiorców</w:t>
      </w:r>
      <w:proofErr w:type="spellEnd"/>
      <w:r w:rsidRPr="00B04DB2">
        <w:rPr>
          <w:rFonts w:ascii="Times New Roman" w:hAnsi="Times New Roman" w:cs="Times New Roman"/>
          <w:szCs w:val="24"/>
        </w:rPr>
        <w:t>, małych i średnich przedsiębiorców.</w:t>
      </w:r>
    </w:p>
    <w:p w14:paraId="47460787" w14:textId="64E8BEB3" w:rsidR="0009689F" w:rsidRPr="008C5D5E" w:rsidRDefault="0009689F" w:rsidP="0009689F">
      <w:pPr>
        <w:pStyle w:val="ARTartustawynprozporzdzenia"/>
        <w:ind w:firstLine="0"/>
        <w:rPr>
          <w:rFonts w:ascii="Times New Roman" w:hAnsi="Times New Roman" w:cs="Times New Roman"/>
          <w:color w:val="808080" w:themeColor="background1" w:themeShade="80"/>
          <w:szCs w:val="24"/>
        </w:rPr>
      </w:pPr>
    </w:p>
    <w:p w14:paraId="649BA98C" w14:textId="188C24E3" w:rsidR="0009689F" w:rsidRPr="00B04DB2" w:rsidRDefault="0009689F" w:rsidP="0009689F">
      <w:pPr>
        <w:pStyle w:val="NIEARTTEKSTtekstnieartykuowanynppodstprawnarozplubpreambua"/>
        <w:tabs>
          <w:tab w:val="left" w:pos="567"/>
        </w:tabs>
        <w:spacing w:before="0" w:after="120" w:line="288" w:lineRule="auto"/>
        <w:ind w:left="567" w:hanging="567"/>
        <w:rPr>
          <w:rStyle w:val="Ppogrubienie"/>
          <w:rFonts w:ascii="Times New Roman" w:hAnsi="Times New Roman" w:cs="Times New Roman"/>
          <w:szCs w:val="24"/>
        </w:rPr>
      </w:pPr>
      <w:r w:rsidRPr="00B04DB2">
        <w:rPr>
          <w:rStyle w:val="Ppogrubienie"/>
          <w:rFonts w:ascii="Times New Roman" w:hAnsi="Times New Roman" w:cs="Times New Roman"/>
          <w:szCs w:val="24"/>
        </w:rPr>
        <w:t>VI</w:t>
      </w:r>
      <w:r w:rsidRPr="00EE3C95">
        <w:rPr>
          <w:rStyle w:val="Ppogrubienie"/>
          <w:rFonts w:ascii="Times New Roman" w:hAnsi="Times New Roman" w:cs="Times New Roman"/>
          <w:szCs w:val="24"/>
        </w:rPr>
        <w:t>.</w:t>
      </w:r>
      <w:r w:rsidRPr="00EE3C95">
        <w:rPr>
          <w:rStyle w:val="Ppogrubienie"/>
          <w:rFonts w:ascii="Times New Roman" w:hAnsi="Times New Roman" w:cs="Times New Roman"/>
          <w:szCs w:val="24"/>
        </w:rPr>
        <w:tab/>
        <w:t>Przedstawienie projektu właściwym organom i i</w:t>
      </w:r>
      <w:r w:rsidR="00F3046B" w:rsidRPr="00EE3C95">
        <w:rPr>
          <w:rStyle w:val="Ppogrubienie"/>
          <w:rFonts w:ascii="Times New Roman" w:hAnsi="Times New Roman" w:cs="Times New Roman"/>
          <w:szCs w:val="24"/>
        </w:rPr>
        <w:t>nstytucjom Unii Europejskiej, w </w:t>
      </w:r>
      <w:r w:rsidRPr="00EE3C95">
        <w:rPr>
          <w:rStyle w:val="Ppogrubienie"/>
          <w:rFonts w:ascii="Times New Roman" w:hAnsi="Times New Roman" w:cs="Times New Roman"/>
          <w:szCs w:val="24"/>
        </w:rPr>
        <w:t>tym Europejskiemu Bankowi Centralnemu, w celu uzyskania opinii, dokonania powiadomienia, konsultacji albo uzgodnienia,</w:t>
      </w:r>
      <w:r w:rsidR="00F3046B" w:rsidRPr="008C2A27">
        <w:rPr>
          <w:rStyle w:val="Ppogrubienie"/>
          <w:rFonts w:ascii="Times New Roman" w:hAnsi="Times New Roman" w:cs="Times New Roman"/>
          <w:szCs w:val="24"/>
        </w:rPr>
        <w:t xml:space="preserve"> jeżeli obowiązek taki wynika z </w:t>
      </w:r>
      <w:r w:rsidRPr="00B04DB2">
        <w:rPr>
          <w:rStyle w:val="Ppogrubienie"/>
          <w:rFonts w:ascii="Times New Roman" w:hAnsi="Times New Roman" w:cs="Times New Roman"/>
          <w:szCs w:val="24"/>
        </w:rPr>
        <w:t>odrębnych przepisów</w:t>
      </w:r>
    </w:p>
    <w:p w14:paraId="42C44217" w14:textId="7FB442BA" w:rsidR="0009689F" w:rsidRPr="008C5D5E" w:rsidRDefault="0009689F" w:rsidP="0009689F">
      <w:pPr>
        <w:pStyle w:val="NIEARTTEKSTtekstnieartykuowanynppodstprawnarozplubpreambua"/>
        <w:spacing w:before="0" w:after="120" w:line="288" w:lineRule="auto"/>
        <w:ind w:firstLine="0"/>
        <w:rPr>
          <w:rFonts w:ascii="Times New Roman" w:hAnsi="Times New Roman" w:cs="Times New Roman"/>
          <w:szCs w:val="24"/>
        </w:rPr>
      </w:pPr>
      <w:r w:rsidRPr="00B04DB2">
        <w:rPr>
          <w:rFonts w:ascii="Times New Roman" w:hAnsi="Times New Roman" w:cs="Times New Roman"/>
          <w:szCs w:val="24"/>
        </w:rPr>
        <w:t>Projekt rozporządzenia nie wymaga przedstawienia właściwym instytucjom i organom Unii Europejskiej, w tym Europejskiemu Bankowi Centralnemu, w celu uzyskania opinii, dokonania konsultacji albo uzgodnienia.</w:t>
      </w:r>
    </w:p>
    <w:p w14:paraId="7E284B36" w14:textId="4170C5D8" w:rsidR="0009689F" w:rsidRPr="00EB1532" w:rsidRDefault="0009689F" w:rsidP="0009689F">
      <w:pPr>
        <w:pStyle w:val="ARTartustawynprozporzdzenia"/>
        <w:ind w:firstLine="0"/>
        <w:rPr>
          <w:rFonts w:ascii="Times New Roman" w:hAnsi="Times New Roman" w:cs="Times New Roman"/>
          <w:color w:val="808080" w:themeColor="background1" w:themeShade="80"/>
        </w:rPr>
      </w:pPr>
    </w:p>
    <w:p w14:paraId="6ADA552B" w14:textId="536FE8DD" w:rsidR="0009689F" w:rsidRPr="002657B2" w:rsidRDefault="0009689F" w:rsidP="00C316D0">
      <w:pPr>
        <w:pStyle w:val="Nagwek2"/>
        <w:rPr>
          <w:rStyle w:val="Ppogrubienie"/>
        </w:rPr>
      </w:pPr>
      <w:r w:rsidRPr="002657B2">
        <w:rPr>
          <w:rStyle w:val="Ppogrubienie"/>
        </w:rPr>
        <w:t>VII.</w:t>
      </w:r>
      <w:r w:rsidRPr="002657B2">
        <w:rPr>
          <w:rStyle w:val="Ppogrubienie"/>
        </w:rPr>
        <w:tab/>
        <w:t>Udostępnienie w Biuletynie Informacji Publicznej</w:t>
      </w:r>
    </w:p>
    <w:p w14:paraId="55024AE1" w14:textId="223F73C3" w:rsidR="0009689F" w:rsidRPr="002657B2" w:rsidRDefault="00542D9B" w:rsidP="0009689F">
      <w:pPr>
        <w:pStyle w:val="NIEARTTEKSTtekstnieartykuowanynppodstprawnarozplubpreambua"/>
        <w:spacing w:before="0" w:after="120" w:line="288" w:lineRule="auto"/>
        <w:ind w:firstLine="0"/>
        <w:rPr>
          <w:rFonts w:ascii="Times New Roman" w:hAnsi="Times New Roman" w:cs="Times New Roman"/>
        </w:rPr>
      </w:pPr>
      <w:r w:rsidRPr="00542D9B">
        <w:rPr>
          <w:rFonts w:ascii="Times New Roman" w:hAnsi="Times New Roman" w:cs="Times New Roman"/>
        </w:rPr>
        <w:t xml:space="preserve">Stosownie do art. 5 ustawy z dnia 7 lipca 2005 r. o działalności lobbingowej w procesie stanowienia prawa (Dz. U. z 2017 r. poz. 248) </w:t>
      </w:r>
      <w:r>
        <w:rPr>
          <w:rFonts w:ascii="Times New Roman" w:hAnsi="Times New Roman" w:cs="Times New Roman"/>
        </w:rPr>
        <w:t>oraz z</w:t>
      </w:r>
      <w:r w:rsidR="0009689F" w:rsidRPr="002657B2">
        <w:rPr>
          <w:rFonts w:ascii="Times New Roman" w:hAnsi="Times New Roman" w:cs="Times New Roman"/>
        </w:rPr>
        <w:t xml:space="preserve">godnie z § 52 </w:t>
      </w:r>
      <w:r w:rsidR="00B061D3">
        <w:rPr>
          <w:rFonts w:ascii="Times New Roman" w:hAnsi="Times New Roman" w:cs="Times New Roman"/>
        </w:rPr>
        <w:t xml:space="preserve">ust. 1 </w:t>
      </w:r>
      <w:r w:rsidR="0009689F" w:rsidRPr="002657B2">
        <w:rPr>
          <w:rFonts w:ascii="Times New Roman" w:hAnsi="Times New Roman" w:cs="Times New Roman"/>
        </w:rPr>
        <w:t>uchwały nr 190 Rady Ministrów z dnia 29 października 2013 r. – Regulaminu pracy Rady Ministrów (M.P. z 20</w:t>
      </w:r>
      <w:r w:rsidR="003C7973">
        <w:rPr>
          <w:rFonts w:ascii="Times New Roman" w:hAnsi="Times New Roman" w:cs="Times New Roman"/>
        </w:rPr>
        <w:t>22</w:t>
      </w:r>
      <w:r w:rsidR="0009689F" w:rsidRPr="002657B2">
        <w:rPr>
          <w:rFonts w:ascii="Times New Roman" w:hAnsi="Times New Roman" w:cs="Times New Roman"/>
        </w:rPr>
        <w:t xml:space="preserve"> r. poz.</w:t>
      </w:r>
      <w:r w:rsidR="004D1AD8">
        <w:rPr>
          <w:rFonts w:ascii="Times New Roman" w:hAnsi="Times New Roman" w:cs="Times New Roman"/>
        </w:rPr>
        <w:t xml:space="preserve"> </w:t>
      </w:r>
      <w:r w:rsidR="003C7973">
        <w:rPr>
          <w:rFonts w:ascii="Times New Roman" w:hAnsi="Times New Roman" w:cs="Times New Roman"/>
        </w:rPr>
        <w:t>348</w:t>
      </w:r>
      <w:r w:rsidR="0009689F" w:rsidRPr="002657B2">
        <w:rPr>
          <w:rFonts w:ascii="Times New Roman" w:hAnsi="Times New Roman" w:cs="Times New Roman"/>
        </w:rPr>
        <w:t>) projekt rozporządzenia zostanie udostępniony w Biuletynie Informacji Publicznej Rządowego Centrum Legislacji w serwisie Rządowy Proces Legislacyjny z chwilą przekazania d</w:t>
      </w:r>
      <w:r w:rsidR="00F3046B" w:rsidRPr="002657B2">
        <w:rPr>
          <w:rFonts w:ascii="Times New Roman" w:hAnsi="Times New Roman" w:cs="Times New Roman"/>
        </w:rPr>
        <w:t>o uzgodnień międzyresortowych i </w:t>
      </w:r>
      <w:r w:rsidR="0009689F" w:rsidRPr="002657B2">
        <w:rPr>
          <w:rFonts w:ascii="Times New Roman" w:hAnsi="Times New Roman" w:cs="Times New Roman"/>
        </w:rPr>
        <w:t>konsultacji publicznych.</w:t>
      </w:r>
    </w:p>
    <w:p w14:paraId="53FF881B" w14:textId="7CA7EB56" w:rsidR="0046399B" w:rsidRPr="00EB1532" w:rsidRDefault="0046399B" w:rsidP="0046399B">
      <w:pPr>
        <w:pStyle w:val="ARTartustawynprozporzdzenia"/>
        <w:rPr>
          <w:color w:val="808080" w:themeColor="background1" w:themeShade="80"/>
        </w:rPr>
      </w:pPr>
    </w:p>
    <w:p w14:paraId="0D156301" w14:textId="7F5CF445" w:rsidR="0009689F" w:rsidRPr="002657B2" w:rsidRDefault="0009689F" w:rsidP="0046399B">
      <w:pPr>
        <w:pStyle w:val="Nagwek2"/>
        <w:jc w:val="both"/>
        <w:rPr>
          <w:rStyle w:val="Ppogrubienie"/>
        </w:rPr>
      </w:pPr>
      <w:r w:rsidRPr="002657B2">
        <w:rPr>
          <w:rStyle w:val="Ppogrubienie"/>
        </w:rPr>
        <w:t>VIII.</w:t>
      </w:r>
      <w:r w:rsidRPr="002657B2">
        <w:rPr>
          <w:rStyle w:val="Ppogrubienie"/>
        </w:rPr>
        <w:tab/>
        <w:t>Ocena organu wnioskującego, czy projekt ten podlega notyfikacji zgodnie z przepisami dotyczącymi funkcjonowania krajo</w:t>
      </w:r>
      <w:r w:rsidR="0046399B" w:rsidRPr="002657B2">
        <w:rPr>
          <w:rStyle w:val="Ppogrubienie"/>
        </w:rPr>
        <w:t>wego systemu notyfikacji norm i </w:t>
      </w:r>
      <w:r w:rsidRPr="002657B2">
        <w:rPr>
          <w:rStyle w:val="Ppogrubienie"/>
        </w:rPr>
        <w:t>aktów prawnych</w:t>
      </w:r>
    </w:p>
    <w:p w14:paraId="0883E61F" w14:textId="0745534F" w:rsidR="0009689F" w:rsidRPr="002657B2" w:rsidRDefault="0009689F" w:rsidP="0009689F">
      <w:pPr>
        <w:pStyle w:val="NIEARTTEKSTtekstnieartykuowanynppodstprawnarozplubpreambua"/>
        <w:spacing w:before="0" w:after="120" w:line="288" w:lineRule="auto"/>
        <w:ind w:firstLine="0"/>
        <w:rPr>
          <w:rFonts w:ascii="Times New Roman" w:hAnsi="Times New Roman" w:cs="Times New Roman"/>
        </w:rPr>
      </w:pPr>
      <w:r w:rsidRPr="002657B2">
        <w:rPr>
          <w:rFonts w:ascii="Times New Roman" w:hAnsi="Times New Roman" w:cs="Times New Roman"/>
        </w:rPr>
        <w:t>Regulacje zawarte w projektowanym rozporządzeniu nie stanowią przepisów technicznych w rozumieniu rozporządzenia Rady Ministrów z dnia 23 grudnia 2002 r. w sprawie sposobu funkcjonowania krajowego systemu notyfikacji norm i aktów prawnych (Dz. U poz. 2039</w:t>
      </w:r>
      <w:r w:rsidR="00020BC0">
        <w:rPr>
          <w:rFonts w:ascii="Times New Roman" w:hAnsi="Times New Roman" w:cs="Times New Roman"/>
        </w:rPr>
        <w:t>, z </w:t>
      </w:r>
      <w:proofErr w:type="spellStart"/>
      <w:r w:rsidR="003C7973">
        <w:rPr>
          <w:rFonts w:ascii="Times New Roman" w:hAnsi="Times New Roman" w:cs="Times New Roman"/>
        </w:rPr>
        <w:t>późn</w:t>
      </w:r>
      <w:proofErr w:type="spellEnd"/>
      <w:r w:rsidR="003C7973">
        <w:rPr>
          <w:rFonts w:ascii="Times New Roman" w:hAnsi="Times New Roman" w:cs="Times New Roman"/>
        </w:rPr>
        <w:t>. zm.</w:t>
      </w:r>
      <w:r w:rsidRPr="002657B2">
        <w:rPr>
          <w:rFonts w:ascii="Times New Roman" w:hAnsi="Times New Roman" w:cs="Times New Roman"/>
        </w:rPr>
        <w:t>), zatem nie podlega ono notyfikacji.</w:t>
      </w:r>
    </w:p>
    <w:p w14:paraId="471FF50C" w14:textId="1EC7DAAB" w:rsidR="006D24F3" w:rsidRPr="00EB1532" w:rsidRDefault="006D24F3" w:rsidP="006D24F3">
      <w:pPr>
        <w:pStyle w:val="ARTartustawynprozporzdzenia"/>
        <w:rPr>
          <w:color w:val="808080" w:themeColor="background1" w:themeShade="80"/>
        </w:rPr>
      </w:pPr>
    </w:p>
    <w:p w14:paraId="3008B9A2" w14:textId="2C13FE7E" w:rsidR="0009689F" w:rsidRPr="002657B2" w:rsidRDefault="0009689F" w:rsidP="00C316D0">
      <w:pPr>
        <w:pStyle w:val="Nagwek2"/>
        <w:rPr>
          <w:rStyle w:val="Ppogrubienie"/>
        </w:rPr>
      </w:pPr>
      <w:r w:rsidRPr="002657B2">
        <w:rPr>
          <w:rStyle w:val="Ppogrubienie"/>
        </w:rPr>
        <w:t>IX.</w:t>
      </w:r>
      <w:r w:rsidRPr="002657B2">
        <w:rPr>
          <w:rStyle w:val="Ppogrubienie"/>
        </w:rPr>
        <w:tab/>
        <w:t>Oświadczenie organu wnioskującego co do zgodności projektu z prawem Unii Europejskiej</w:t>
      </w:r>
    </w:p>
    <w:p w14:paraId="6756697A" w14:textId="0999BC31" w:rsidR="0009689F" w:rsidRDefault="004912C2" w:rsidP="002657B2">
      <w:pPr>
        <w:pStyle w:val="NIEARTTEKSTtekstnieartykuowanynppodstprawnarozplubpreambua"/>
        <w:spacing w:before="0" w:after="120" w:line="288" w:lineRule="auto"/>
        <w:ind w:firstLine="0"/>
        <w:rPr>
          <w:rFonts w:ascii="Times New Roman" w:hAnsi="Times New Roman" w:cs="Times New Roman"/>
        </w:rPr>
      </w:pPr>
      <w:r w:rsidRPr="002657B2">
        <w:rPr>
          <w:rFonts w:ascii="Times New Roman" w:hAnsi="Times New Roman" w:cs="Times New Roman"/>
        </w:rPr>
        <w:t>Projekt rozporządzenia jest zgodny z prawem Unii Europejskiej</w:t>
      </w:r>
      <w:r w:rsidR="00FE697D">
        <w:rPr>
          <w:rFonts w:ascii="Times New Roman" w:hAnsi="Times New Roman" w:cs="Times New Roman"/>
        </w:rPr>
        <w:t xml:space="preserve">, w szczególności z przepisami </w:t>
      </w:r>
      <w:r w:rsidR="007E7B17" w:rsidRPr="002657B2">
        <w:rPr>
          <w:rFonts w:ascii="Times New Roman" w:hAnsi="Times New Roman" w:cs="Times New Roman"/>
        </w:rPr>
        <w:t>rozporządzenia Komisji (UE) nr 139/2014 z dnia 12 lutego 2014 r. ustanawiając</w:t>
      </w:r>
      <w:r w:rsidR="004D1AD8">
        <w:rPr>
          <w:rFonts w:ascii="Times New Roman" w:hAnsi="Times New Roman" w:cs="Times New Roman"/>
        </w:rPr>
        <w:t>ego</w:t>
      </w:r>
      <w:r w:rsidR="007E7B17" w:rsidRPr="002657B2">
        <w:rPr>
          <w:rFonts w:ascii="Times New Roman" w:hAnsi="Times New Roman" w:cs="Times New Roman"/>
        </w:rPr>
        <w:t xml:space="preserve"> wymagania </w:t>
      </w:r>
      <w:r w:rsidR="007E7B17" w:rsidRPr="002657B2">
        <w:rPr>
          <w:rFonts w:ascii="Times New Roman" w:hAnsi="Times New Roman" w:cs="Times New Roman"/>
        </w:rPr>
        <w:lastRenderedPageBreak/>
        <w:t>oraz procedury administracyjne dotyczące lotnisk zgodnie z rozporządzeniem Parlamentu Europejskiego i Rady (WE) nr 216/2008</w:t>
      </w:r>
      <w:r w:rsidR="00996134">
        <w:rPr>
          <w:rFonts w:ascii="Times New Roman" w:hAnsi="Times New Roman" w:cs="Times New Roman"/>
        </w:rPr>
        <w:t>.</w:t>
      </w:r>
      <w:bookmarkStart w:id="6" w:name="Wybór1"/>
      <w:bookmarkEnd w:id="6"/>
    </w:p>
    <w:p w14:paraId="0E11D790" w14:textId="55ED4681" w:rsidR="00542D9B" w:rsidRPr="00542D9B" w:rsidRDefault="00542D9B" w:rsidP="00020BC0">
      <w:pPr>
        <w:pStyle w:val="ARTartustawynprozporzdzenia"/>
        <w:ind w:firstLine="0"/>
      </w:pPr>
      <w:r>
        <w:t>Ponadto należy dodać, że n</w:t>
      </w:r>
      <w:r w:rsidRPr="00542D9B">
        <w:t>ie ma możliwości osiągnięcia celu projektu za pomocą innych środków niż wydanie projektowanego rozporządzenia.</w:t>
      </w:r>
    </w:p>
    <w:p w14:paraId="01CC60D8" w14:textId="77777777" w:rsidR="00542D9B" w:rsidRPr="00020BC0" w:rsidRDefault="00542D9B" w:rsidP="00020BC0">
      <w:pPr>
        <w:pStyle w:val="ARTartustawynprozporzdzenia"/>
      </w:pPr>
    </w:p>
    <w:sectPr w:rsidR="00542D9B" w:rsidRPr="00020BC0" w:rsidSect="00A1538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CFE93" w16cex:dateUtc="2022-01-25T10:00:00Z"/>
  <w16cex:commentExtensible w16cex:durableId="25ACFE94" w16cex:dateUtc="2022-01-25T09:57:00Z"/>
  <w16cex:commentExtensible w16cex:durableId="25ACFE95" w16cex:dateUtc="2022-01-25T09:59:00Z"/>
  <w16cex:commentExtensible w16cex:durableId="25ACFE96" w16cex:dateUtc="2022-01-25T10:00:00Z"/>
  <w16cex:commentExtensible w16cex:durableId="25ACFE97" w16cex:dateUtc="2022-01-25T10:03:00Z"/>
  <w16cex:commentExtensible w16cex:durableId="25ACFE98" w16cex:dateUtc="2022-01-25T10:05:00Z"/>
  <w16cex:commentExtensible w16cex:durableId="25ACFE99" w16cex:dateUtc="2022-01-25T10:32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BD05CC" w14:textId="77777777" w:rsidR="00ED0D22" w:rsidRDefault="00ED0D22" w:rsidP="0009689F">
      <w:pPr>
        <w:spacing w:after="0" w:line="240" w:lineRule="auto"/>
      </w:pPr>
      <w:r>
        <w:separator/>
      </w:r>
    </w:p>
  </w:endnote>
  <w:endnote w:type="continuationSeparator" w:id="0">
    <w:p w14:paraId="3052BD3C" w14:textId="77777777" w:rsidR="00ED0D22" w:rsidRDefault="00ED0D22" w:rsidP="00096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1083974"/>
      <w:docPartObj>
        <w:docPartGallery w:val="Page Numbers (Bottom of Page)"/>
        <w:docPartUnique/>
      </w:docPartObj>
    </w:sdtPr>
    <w:sdtEndPr/>
    <w:sdtContent>
      <w:p w14:paraId="0AFA5987" w14:textId="79BBA441" w:rsidR="00E82967" w:rsidRDefault="00751F35" w:rsidP="005B210A">
        <w:pPr>
          <w:pStyle w:val="Stopka"/>
          <w:jc w:val="center"/>
        </w:pPr>
        <w:r>
          <w:rPr>
            <w:noProof/>
          </w:rPr>
          <w:fldChar w:fldCharType="begin"/>
        </w:r>
        <w:r w:rsidR="00E82967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43017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51FC4A" w14:textId="77777777" w:rsidR="00ED0D22" w:rsidRDefault="00ED0D22" w:rsidP="0009689F">
      <w:pPr>
        <w:spacing w:after="0" w:line="240" w:lineRule="auto"/>
      </w:pPr>
      <w:r>
        <w:separator/>
      </w:r>
    </w:p>
  </w:footnote>
  <w:footnote w:type="continuationSeparator" w:id="0">
    <w:p w14:paraId="3461B3D9" w14:textId="77777777" w:rsidR="00ED0D22" w:rsidRDefault="00ED0D22" w:rsidP="00096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07815"/>
    <w:multiLevelType w:val="hybridMultilevel"/>
    <w:tmpl w:val="0916FC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14C56"/>
    <w:multiLevelType w:val="hybridMultilevel"/>
    <w:tmpl w:val="96E45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F46EFA"/>
    <w:multiLevelType w:val="hybridMultilevel"/>
    <w:tmpl w:val="9E386A92"/>
    <w:lvl w:ilvl="0" w:tplc="EDAA2E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89F"/>
    <w:rsid w:val="00020BC0"/>
    <w:rsid w:val="000272BC"/>
    <w:rsid w:val="0003296E"/>
    <w:rsid w:val="00037565"/>
    <w:rsid w:val="000444C4"/>
    <w:rsid w:val="00044D58"/>
    <w:rsid w:val="00050A39"/>
    <w:rsid w:val="00052E4A"/>
    <w:rsid w:val="00061A61"/>
    <w:rsid w:val="00064485"/>
    <w:rsid w:val="00071057"/>
    <w:rsid w:val="0008203B"/>
    <w:rsid w:val="00082D5D"/>
    <w:rsid w:val="00082DE9"/>
    <w:rsid w:val="000865AE"/>
    <w:rsid w:val="0009186B"/>
    <w:rsid w:val="000919BC"/>
    <w:rsid w:val="0009689F"/>
    <w:rsid w:val="000969DF"/>
    <w:rsid w:val="000A2D84"/>
    <w:rsid w:val="000A49B0"/>
    <w:rsid w:val="000A7512"/>
    <w:rsid w:val="000B1BCB"/>
    <w:rsid w:val="000B6758"/>
    <w:rsid w:val="000C022B"/>
    <w:rsid w:val="000C1588"/>
    <w:rsid w:val="000C477C"/>
    <w:rsid w:val="000E7EA3"/>
    <w:rsid w:val="00102CFF"/>
    <w:rsid w:val="00123EF6"/>
    <w:rsid w:val="00186C02"/>
    <w:rsid w:val="00193D62"/>
    <w:rsid w:val="00194BAD"/>
    <w:rsid w:val="001A1CF7"/>
    <w:rsid w:val="001A71CE"/>
    <w:rsid w:val="001B1A7B"/>
    <w:rsid w:val="001B248E"/>
    <w:rsid w:val="001C1049"/>
    <w:rsid w:val="001E1BC7"/>
    <w:rsid w:val="001E23D3"/>
    <w:rsid w:val="001F4E3E"/>
    <w:rsid w:val="001F67D9"/>
    <w:rsid w:val="00207879"/>
    <w:rsid w:val="0021178E"/>
    <w:rsid w:val="00230C44"/>
    <w:rsid w:val="00237650"/>
    <w:rsid w:val="002414DD"/>
    <w:rsid w:val="00251B8A"/>
    <w:rsid w:val="002657B2"/>
    <w:rsid w:val="00266906"/>
    <w:rsid w:val="002676D1"/>
    <w:rsid w:val="002804D9"/>
    <w:rsid w:val="002842F2"/>
    <w:rsid w:val="002861FA"/>
    <w:rsid w:val="002902FA"/>
    <w:rsid w:val="002940E1"/>
    <w:rsid w:val="002A7883"/>
    <w:rsid w:val="002D0763"/>
    <w:rsid w:val="002E1426"/>
    <w:rsid w:val="002E544F"/>
    <w:rsid w:val="002E7E88"/>
    <w:rsid w:val="002F19D3"/>
    <w:rsid w:val="002F6147"/>
    <w:rsid w:val="00300D9E"/>
    <w:rsid w:val="00305142"/>
    <w:rsid w:val="0030765C"/>
    <w:rsid w:val="00314687"/>
    <w:rsid w:val="00323361"/>
    <w:rsid w:val="0032403D"/>
    <w:rsid w:val="00333993"/>
    <w:rsid w:val="00361CF3"/>
    <w:rsid w:val="00377F26"/>
    <w:rsid w:val="003A5967"/>
    <w:rsid w:val="003B1724"/>
    <w:rsid w:val="003C1210"/>
    <w:rsid w:val="003C7973"/>
    <w:rsid w:val="003D7B7A"/>
    <w:rsid w:val="003F4133"/>
    <w:rsid w:val="003F4E23"/>
    <w:rsid w:val="0040040B"/>
    <w:rsid w:val="004146AF"/>
    <w:rsid w:val="00416991"/>
    <w:rsid w:val="00420FFC"/>
    <w:rsid w:val="00427C59"/>
    <w:rsid w:val="0043017F"/>
    <w:rsid w:val="00431018"/>
    <w:rsid w:val="004342B7"/>
    <w:rsid w:val="00434C89"/>
    <w:rsid w:val="00435F4B"/>
    <w:rsid w:val="00445B5D"/>
    <w:rsid w:val="0046399B"/>
    <w:rsid w:val="00483EE8"/>
    <w:rsid w:val="004912C2"/>
    <w:rsid w:val="0049519E"/>
    <w:rsid w:val="004951D0"/>
    <w:rsid w:val="004B0F36"/>
    <w:rsid w:val="004B2A93"/>
    <w:rsid w:val="004B5324"/>
    <w:rsid w:val="004C7D93"/>
    <w:rsid w:val="004D1AD8"/>
    <w:rsid w:val="004D58F7"/>
    <w:rsid w:val="00505CDD"/>
    <w:rsid w:val="00507D92"/>
    <w:rsid w:val="00511C7E"/>
    <w:rsid w:val="005134B5"/>
    <w:rsid w:val="0052414E"/>
    <w:rsid w:val="005372CD"/>
    <w:rsid w:val="00542D9B"/>
    <w:rsid w:val="005537A8"/>
    <w:rsid w:val="00557B72"/>
    <w:rsid w:val="005609FB"/>
    <w:rsid w:val="00563A3E"/>
    <w:rsid w:val="00565519"/>
    <w:rsid w:val="00570770"/>
    <w:rsid w:val="0057303E"/>
    <w:rsid w:val="0058198C"/>
    <w:rsid w:val="00590C88"/>
    <w:rsid w:val="0059715F"/>
    <w:rsid w:val="005A1BEF"/>
    <w:rsid w:val="005A3FC4"/>
    <w:rsid w:val="005A668F"/>
    <w:rsid w:val="005B210A"/>
    <w:rsid w:val="005C1820"/>
    <w:rsid w:val="005E3AF2"/>
    <w:rsid w:val="005E6068"/>
    <w:rsid w:val="005E6DFD"/>
    <w:rsid w:val="0062244D"/>
    <w:rsid w:val="006235AE"/>
    <w:rsid w:val="0063044A"/>
    <w:rsid w:val="00636453"/>
    <w:rsid w:val="00637BC1"/>
    <w:rsid w:val="0064504F"/>
    <w:rsid w:val="006542A6"/>
    <w:rsid w:val="00654AA3"/>
    <w:rsid w:val="0066741D"/>
    <w:rsid w:val="006679EB"/>
    <w:rsid w:val="00672DEA"/>
    <w:rsid w:val="00675189"/>
    <w:rsid w:val="00675598"/>
    <w:rsid w:val="00690FC8"/>
    <w:rsid w:val="006A06BB"/>
    <w:rsid w:val="006B5D9C"/>
    <w:rsid w:val="006C50B4"/>
    <w:rsid w:val="006C5312"/>
    <w:rsid w:val="006D24F3"/>
    <w:rsid w:val="006D6583"/>
    <w:rsid w:val="006E3707"/>
    <w:rsid w:val="006F30DE"/>
    <w:rsid w:val="0070405B"/>
    <w:rsid w:val="0070616E"/>
    <w:rsid w:val="00712B69"/>
    <w:rsid w:val="00716AFC"/>
    <w:rsid w:val="00725529"/>
    <w:rsid w:val="00726274"/>
    <w:rsid w:val="0074255D"/>
    <w:rsid w:val="007448C5"/>
    <w:rsid w:val="0075070E"/>
    <w:rsid w:val="00751F35"/>
    <w:rsid w:val="00762B41"/>
    <w:rsid w:val="00764C1F"/>
    <w:rsid w:val="00776EC9"/>
    <w:rsid w:val="00783304"/>
    <w:rsid w:val="00787C11"/>
    <w:rsid w:val="00793CE2"/>
    <w:rsid w:val="007963EF"/>
    <w:rsid w:val="007B7CA6"/>
    <w:rsid w:val="007C26AF"/>
    <w:rsid w:val="007C336D"/>
    <w:rsid w:val="007C7D12"/>
    <w:rsid w:val="007D3A2D"/>
    <w:rsid w:val="007D3C60"/>
    <w:rsid w:val="007E7B17"/>
    <w:rsid w:val="007F16C2"/>
    <w:rsid w:val="007F3CF8"/>
    <w:rsid w:val="007F56BF"/>
    <w:rsid w:val="00801F61"/>
    <w:rsid w:val="0081687E"/>
    <w:rsid w:val="0082632D"/>
    <w:rsid w:val="00836654"/>
    <w:rsid w:val="008367FF"/>
    <w:rsid w:val="00836DC6"/>
    <w:rsid w:val="00850758"/>
    <w:rsid w:val="00874AF0"/>
    <w:rsid w:val="008755D9"/>
    <w:rsid w:val="00875DC1"/>
    <w:rsid w:val="00877A92"/>
    <w:rsid w:val="00884EB7"/>
    <w:rsid w:val="008939E9"/>
    <w:rsid w:val="008B47B8"/>
    <w:rsid w:val="008B5F41"/>
    <w:rsid w:val="008B65AA"/>
    <w:rsid w:val="008C0738"/>
    <w:rsid w:val="008C2A27"/>
    <w:rsid w:val="008C5D5E"/>
    <w:rsid w:val="008C7C28"/>
    <w:rsid w:val="008D1F9A"/>
    <w:rsid w:val="008D6965"/>
    <w:rsid w:val="008E31F1"/>
    <w:rsid w:val="008E56E0"/>
    <w:rsid w:val="008F25F5"/>
    <w:rsid w:val="00914623"/>
    <w:rsid w:val="009314C3"/>
    <w:rsid w:val="00943FC0"/>
    <w:rsid w:val="00945E90"/>
    <w:rsid w:val="00967481"/>
    <w:rsid w:val="009703BE"/>
    <w:rsid w:val="00972E54"/>
    <w:rsid w:val="00974661"/>
    <w:rsid w:val="00974840"/>
    <w:rsid w:val="009757B7"/>
    <w:rsid w:val="0098777B"/>
    <w:rsid w:val="009916A4"/>
    <w:rsid w:val="00996134"/>
    <w:rsid w:val="009B4236"/>
    <w:rsid w:val="009D24B4"/>
    <w:rsid w:val="009E196E"/>
    <w:rsid w:val="009E619B"/>
    <w:rsid w:val="009F6669"/>
    <w:rsid w:val="00A0277E"/>
    <w:rsid w:val="00A054CE"/>
    <w:rsid w:val="00A140C5"/>
    <w:rsid w:val="00A15380"/>
    <w:rsid w:val="00A165E9"/>
    <w:rsid w:val="00A21C3E"/>
    <w:rsid w:val="00A32C47"/>
    <w:rsid w:val="00A41722"/>
    <w:rsid w:val="00A428C0"/>
    <w:rsid w:val="00A468BF"/>
    <w:rsid w:val="00A5149C"/>
    <w:rsid w:val="00A52DCC"/>
    <w:rsid w:val="00A56C29"/>
    <w:rsid w:val="00A65741"/>
    <w:rsid w:val="00A76D86"/>
    <w:rsid w:val="00A800C5"/>
    <w:rsid w:val="00A831E3"/>
    <w:rsid w:val="00A86303"/>
    <w:rsid w:val="00A9326D"/>
    <w:rsid w:val="00A94FF3"/>
    <w:rsid w:val="00A9557F"/>
    <w:rsid w:val="00A95911"/>
    <w:rsid w:val="00A9687A"/>
    <w:rsid w:val="00AA0908"/>
    <w:rsid w:val="00AA099F"/>
    <w:rsid w:val="00AA1761"/>
    <w:rsid w:val="00AA20BF"/>
    <w:rsid w:val="00AE0A90"/>
    <w:rsid w:val="00AE47BF"/>
    <w:rsid w:val="00AF4784"/>
    <w:rsid w:val="00B04DB2"/>
    <w:rsid w:val="00B061D3"/>
    <w:rsid w:val="00B069F3"/>
    <w:rsid w:val="00B118B7"/>
    <w:rsid w:val="00B14265"/>
    <w:rsid w:val="00B14E66"/>
    <w:rsid w:val="00B2620D"/>
    <w:rsid w:val="00B31153"/>
    <w:rsid w:val="00B5204E"/>
    <w:rsid w:val="00B5557F"/>
    <w:rsid w:val="00B559AC"/>
    <w:rsid w:val="00B60C3D"/>
    <w:rsid w:val="00B62474"/>
    <w:rsid w:val="00B755F7"/>
    <w:rsid w:val="00B75702"/>
    <w:rsid w:val="00B82EF1"/>
    <w:rsid w:val="00B8488C"/>
    <w:rsid w:val="00B872AD"/>
    <w:rsid w:val="00BA17AA"/>
    <w:rsid w:val="00BA581B"/>
    <w:rsid w:val="00BC21E2"/>
    <w:rsid w:val="00BC26C5"/>
    <w:rsid w:val="00BE31B7"/>
    <w:rsid w:val="00BE6A1F"/>
    <w:rsid w:val="00BF1166"/>
    <w:rsid w:val="00BF5895"/>
    <w:rsid w:val="00BF6356"/>
    <w:rsid w:val="00C03B3D"/>
    <w:rsid w:val="00C21C80"/>
    <w:rsid w:val="00C2694F"/>
    <w:rsid w:val="00C316D0"/>
    <w:rsid w:val="00C3342F"/>
    <w:rsid w:val="00C43C7B"/>
    <w:rsid w:val="00C657C6"/>
    <w:rsid w:val="00C66540"/>
    <w:rsid w:val="00C671E5"/>
    <w:rsid w:val="00C6768A"/>
    <w:rsid w:val="00C71B27"/>
    <w:rsid w:val="00C7732E"/>
    <w:rsid w:val="00C844C1"/>
    <w:rsid w:val="00C93BBB"/>
    <w:rsid w:val="00C93F17"/>
    <w:rsid w:val="00CB296F"/>
    <w:rsid w:val="00CC724D"/>
    <w:rsid w:val="00CD2B80"/>
    <w:rsid w:val="00CE3041"/>
    <w:rsid w:val="00CF3A2D"/>
    <w:rsid w:val="00D04CF4"/>
    <w:rsid w:val="00D0675B"/>
    <w:rsid w:val="00D06C59"/>
    <w:rsid w:val="00D164E1"/>
    <w:rsid w:val="00D16F72"/>
    <w:rsid w:val="00D27114"/>
    <w:rsid w:val="00D27B2D"/>
    <w:rsid w:val="00D34E43"/>
    <w:rsid w:val="00D34E81"/>
    <w:rsid w:val="00D35102"/>
    <w:rsid w:val="00D36E02"/>
    <w:rsid w:val="00D52BC3"/>
    <w:rsid w:val="00D65ECA"/>
    <w:rsid w:val="00D81F67"/>
    <w:rsid w:val="00D8777F"/>
    <w:rsid w:val="00D92FD9"/>
    <w:rsid w:val="00DA0F4C"/>
    <w:rsid w:val="00DA4B69"/>
    <w:rsid w:val="00DA6BB6"/>
    <w:rsid w:val="00DA7EC1"/>
    <w:rsid w:val="00DC5860"/>
    <w:rsid w:val="00DC5E89"/>
    <w:rsid w:val="00DC7559"/>
    <w:rsid w:val="00DD3272"/>
    <w:rsid w:val="00DD3422"/>
    <w:rsid w:val="00DE0418"/>
    <w:rsid w:val="00DE3C93"/>
    <w:rsid w:val="00DE4B56"/>
    <w:rsid w:val="00DE595E"/>
    <w:rsid w:val="00DE5A6C"/>
    <w:rsid w:val="00E01D70"/>
    <w:rsid w:val="00E20ADE"/>
    <w:rsid w:val="00E244DC"/>
    <w:rsid w:val="00E27CE4"/>
    <w:rsid w:val="00E6287A"/>
    <w:rsid w:val="00E7411D"/>
    <w:rsid w:val="00E82967"/>
    <w:rsid w:val="00E8663E"/>
    <w:rsid w:val="00E939A7"/>
    <w:rsid w:val="00E952EF"/>
    <w:rsid w:val="00E95565"/>
    <w:rsid w:val="00EB1532"/>
    <w:rsid w:val="00EB70F2"/>
    <w:rsid w:val="00EC7BBA"/>
    <w:rsid w:val="00ED0D22"/>
    <w:rsid w:val="00ED0F90"/>
    <w:rsid w:val="00EE2102"/>
    <w:rsid w:val="00EE3C95"/>
    <w:rsid w:val="00EE3F62"/>
    <w:rsid w:val="00EE68C2"/>
    <w:rsid w:val="00EE6E75"/>
    <w:rsid w:val="00EE71F3"/>
    <w:rsid w:val="00EF153B"/>
    <w:rsid w:val="00EF1F8A"/>
    <w:rsid w:val="00EF49D2"/>
    <w:rsid w:val="00EF6E28"/>
    <w:rsid w:val="00F022B7"/>
    <w:rsid w:val="00F04D98"/>
    <w:rsid w:val="00F05B84"/>
    <w:rsid w:val="00F12507"/>
    <w:rsid w:val="00F1577A"/>
    <w:rsid w:val="00F23142"/>
    <w:rsid w:val="00F23767"/>
    <w:rsid w:val="00F26C8B"/>
    <w:rsid w:val="00F3046B"/>
    <w:rsid w:val="00F40701"/>
    <w:rsid w:val="00F4220A"/>
    <w:rsid w:val="00F43A3B"/>
    <w:rsid w:val="00F473E2"/>
    <w:rsid w:val="00F47E18"/>
    <w:rsid w:val="00F50ED5"/>
    <w:rsid w:val="00F51E11"/>
    <w:rsid w:val="00F54B58"/>
    <w:rsid w:val="00F57047"/>
    <w:rsid w:val="00F576B5"/>
    <w:rsid w:val="00F626AB"/>
    <w:rsid w:val="00F63085"/>
    <w:rsid w:val="00F6340D"/>
    <w:rsid w:val="00F64D28"/>
    <w:rsid w:val="00F72BC3"/>
    <w:rsid w:val="00F73468"/>
    <w:rsid w:val="00F73FD6"/>
    <w:rsid w:val="00F9280F"/>
    <w:rsid w:val="00F958C0"/>
    <w:rsid w:val="00FB4F36"/>
    <w:rsid w:val="00FC359D"/>
    <w:rsid w:val="00FC5689"/>
    <w:rsid w:val="00FD0930"/>
    <w:rsid w:val="00FD4157"/>
    <w:rsid w:val="00FE697D"/>
    <w:rsid w:val="00FF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48A53"/>
  <w15:docId w15:val="{2B33A1A2-069E-44C8-83AF-53541A57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689F"/>
    <w:pPr>
      <w:spacing w:after="120" w:line="276" w:lineRule="auto"/>
      <w:jc w:val="both"/>
    </w:pPr>
    <w:rPr>
      <w:rFonts w:ascii="Times New Roman" w:hAnsi="Times New Roman"/>
      <w:color w:val="000000" w:themeColor="text1"/>
      <w:sz w:val="24"/>
    </w:rPr>
  </w:style>
  <w:style w:type="paragraph" w:styleId="Nagwek2">
    <w:name w:val="heading 2"/>
    <w:basedOn w:val="NIEARTTEKSTtekstnieartykuowanynppodstprawnarozplubpreambua"/>
    <w:next w:val="Normalny"/>
    <w:link w:val="Nagwek2Znak"/>
    <w:uiPriority w:val="9"/>
    <w:unhideWhenUsed/>
    <w:qFormat/>
    <w:rsid w:val="00E6287A"/>
    <w:pPr>
      <w:tabs>
        <w:tab w:val="left" w:pos="567"/>
      </w:tabs>
      <w:spacing w:before="0" w:after="120" w:line="288" w:lineRule="auto"/>
      <w:ind w:left="567" w:hanging="567"/>
      <w:jc w:val="left"/>
      <w:outlineLvl w:val="1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9689F"/>
    <w:rPr>
      <w:rFonts w:cs="Times New Roman"/>
      <w:vertAlign w:val="superscript"/>
    </w:rPr>
  </w:style>
  <w:style w:type="paragraph" w:customStyle="1" w:styleId="ARTartustawynprozporzdzenia">
    <w:name w:val="ART(§) – art. ustawy (§ np. rozporządzenia)"/>
    <w:uiPriority w:val="11"/>
    <w:qFormat/>
    <w:rsid w:val="0009689F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09689F"/>
    <w:rPr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9689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689F"/>
    <w:rPr>
      <w:rFonts w:ascii="Times" w:eastAsia="Times New Roman" w:hAnsi="Times" w:cs="Times New Roman"/>
      <w:color w:val="000000" w:themeColor="text1"/>
      <w:sz w:val="24"/>
      <w:szCs w:val="24"/>
    </w:r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09689F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09689F"/>
    <w:rPr>
      <w:b/>
    </w:rPr>
  </w:style>
  <w:style w:type="paragraph" w:styleId="Akapitzlist">
    <w:name w:val="List Paragraph"/>
    <w:basedOn w:val="Normalny"/>
    <w:uiPriority w:val="34"/>
    <w:qFormat/>
    <w:rsid w:val="0009689F"/>
    <w:pPr>
      <w:widowControl w:val="0"/>
      <w:spacing w:after="0"/>
      <w:ind w:left="720"/>
      <w:contextualSpacing/>
    </w:pPr>
    <w:rPr>
      <w:rFonts w:eastAsia="Calibri" w:cs="Times New Roman"/>
      <w:bCs/>
      <w:color w:val="auto"/>
      <w:sz w:val="22"/>
      <w:lang w:val="en-US"/>
    </w:rPr>
  </w:style>
  <w:style w:type="paragraph" w:customStyle="1" w:styleId="xmsonormal">
    <w:name w:val="x_msonormal"/>
    <w:basedOn w:val="Normalny"/>
    <w:rsid w:val="0009689F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  <w:lang w:eastAsia="pl-PL"/>
    </w:rPr>
  </w:style>
  <w:style w:type="paragraph" w:customStyle="1" w:styleId="TYTDZOZNoznaczenietytuulubdziau">
    <w:name w:val="TYT(DZ)_OZN – oznaczenie tytułu lub działu"/>
    <w:next w:val="Normalny"/>
    <w:uiPriority w:val="9"/>
    <w:qFormat/>
    <w:rsid w:val="0009689F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09689F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character" w:customStyle="1" w:styleId="IDindeksdolny">
    <w:name w:val="_ID_ – indeks dolny"/>
    <w:basedOn w:val="Domylnaczcionkaakapitu"/>
    <w:uiPriority w:val="3"/>
    <w:qFormat/>
    <w:rsid w:val="0009689F"/>
    <w:rPr>
      <w:b w:val="0"/>
      <w:i w:val="0"/>
      <w:vanish w:val="0"/>
      <w:spacing w:val="0"/>
      <w:vertAlign w:val="sub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2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2FD9"/>
    <w:rPr>
      <w:rFonts w:ascii="Tahoma" w:hAnsi="Tahoma" w:cs="Tahoma"/>
      <w:color w:val="000000" w:themeColor="text1"/>
      <w:sz w:val="16"/>
      <w:szCs w:val="16"/>
    </w:rPr>
  </w:style>
  <w:style w:type="character" w:styleId="Odwoaniedokomentarza">
    <w:name w:val="annotation reference"/>
    <w:basedOn w:val="Domylnaczcionkaakapitu"/>
    <w:uiPriority w:val="99"/>
    <w:unhideWhenUsed/>
    <w:rsid w:val="006A06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06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06BB"/>
    <w:rPr>
      <w:rFonts w:ascii="Times New Roman" w:hAnsi="Times New Roman"/>
      <w:color w:val="000000" w:themeColor="text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06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06BB"/>
    <w:rPr>
      <w:rFonts w:ascii="Times New Roman" w:hAnsi="Times New Roman"/>
      <w:b/>
      <w:bCs/>
      <w:color w:val="000000" w:themeColor="text1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E6287A"/>
    <w:rPr>
      <w:rFonts w:ascii="Times New Roman" w:eastAsiaTheme="minorEastAsia" w:hAnsi="Times New Roman" w:cs="Times New Roman"/>
      <w:bCs/>
      <w:sz w:val="24"/>
      <w:szCs w:val="20"/>
      <w:lang w:eastAsia="pl-PL"/>
    </w:rPr>
  </w:style>
  <w:style w:type="paragraph" w:customStyle="1" w:styleId="Default">
    <w:name w:val="Default"/>
    <w:rsid w:val="006D65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B2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210A"/>
    <w:rPr>
      <w:rFonts w:ascii="Times New Roman" w:hAnsi="Times New Roman"/>
      <w:color w:val="000000" w:themeColor="text1"/>
      <w:sz w:val="24"/>
    </w:rPr>
  </w:style>
  <w:style w:type="paragraph" w:styleId="Stopka">
    <w:name w:val="footer"/>
    <w:basedOn w:val="Normalny"/>
    <w:link w:val="StopkaZnak"/>
    <w:uiPriority w:val="99"/>
    <w:unhideWhenUsed/>
    <w:rsid w:val="005B2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210A"/>
    <w:rPr>
      <w:rFonts w:ascii="Times New Roman" w:hAnsi="Times New Roman"/>
      <w:color w:val="000000" w:themeColor="text1"/>
      <w:sz w:val="24"/>
    </w:rPr>
  </w:style>
  <w:style w:type="paragraph" w:styleId="Poprawka">
    <w:name w:val="Revision"/>
    <w:hidden/>
    <w:uiPriority w:val="99"/>
    <w:semiHidden/>
    <w:rsid w:val="00787C11"/>
    <w:pPr>
      <w:spacing w:after="0" w:line="240" w:lineRule="auto"/>
    </w:pPr>
    <w:rPr>
      <w:rFonts w:ascii="Times New Roman" w:hAnsi="Times New Roman"/>
      <w:color w:val="000000" w:themeColor="text1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41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4157"/>
    <w:rPr>
      <w:rFonts w:ascii="Times New Roman" w:hAnsi="Times New Roman"/>
      <w:color w:val="000000" w:themeColor="text1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4157"/>
    <w:rPr>
      <w:vertAlign w:val="superscript"/>
    </w:rPr>
  </w:style>
  <w:style w:type="paragraph" w:customStyle="1" w:styleId="hd-date">
    <w:name w:val="hd-date"/>
    <w:basedOn w:val="Normalny"/>
    <w:rsid w:val="0070405B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  <w:lang w:eastAsia="pl-PL"/>
    </w:rPr>
  </w:style>
  <w:style w:type="paragraph" w:customStyle="1" w:styleId="hd-lg">
    <w:name w:val="hd-lg"/>
    <w:basedOn w:val="Normalny"/>
    <w:rsid w:val="0070405B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  <w:lang w:eastAsia="pl-PL"/>
    </w:rPr>
  </w:style>
  <w:style w:type="paragraph" w:customStyle="1" w:styleId="hd-ti">
    <w:name w:val="hd-ti"/>
    <w:basedOn w:val="Normalny"/>
    <w:rsid w:val="0070405B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  <w:lang w:eastAsia="pl-PL"/>
    </w:rPr>
  </w:style>
  <w:style w:type="paragraph" w:customStyle="1" w:styleId="hd-oj">
    <w:name w:val="hd-oj"/>
    <w:basedOn w:val="Normalny"/>
    <w:rsid w:val="0070405B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9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8C6ACB-93F4-484D-B98C-3D5F3E130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2597</Words>
  <Characters>15584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Ryszard Kita</dc:creator>
  <cp:lastModifiedBy>Wiza Agnieszka</cp:lastModifiedBy>
  <cp:revision>3</cp:revision>
  <cp:lastPrinted>2021-11-05T14:18:00Z</cp:lastPrinted>
  <dcterms:created xsi:type="dcterms:W3CDTF">2022-05-18T08:38:00Z</dcterms:created>
  <dcterms:modified xsi:type="dcterms:W3CDTF">2022-05-18T08:40:00Z</dcterms:modified>
</cp:coreProperties>
</file>