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6A1" w:rsidRPr="007F42C4" w:rsidRDefault="004306A1" w:rsidP="00C1251C">
      <w:pPr>
        <w:widowControl/>
        <w:suppressAutoHyphens/>
        <w:autoSpaceDE/>
        <w:autoSpaceDN/>
        <w:adjustRightInd/>
        <w:spacing w:line="276" w:lineRule="auto"/>
        <w:ind w:firstLine="5670"/>
        <w:jc w:val="right"/>
        <w:rPr>
          <w:rFonts w:ascii="Times New Roman" w:eastAsia="HiddenHorzOCR" w:hAnsi="Times New Roman"/>
          <w:b/>
        </w:rPr>
      </w:pPr>
      <w:bookmarkStart w:id="0" w:name="_GoBack"/>
      <w:bookmarkEnd w:id="0"/>
      <w:r w:rsidRPr="007F42C4">
        <w:rPr>
          <w:rFonts w:ascii="Times New Roman" w:eastAsia="HiddenHorzOCR" w:hAnsi="Times New Roman"/>
          <w:b/>
          <w:sz w:val="24"/>
          <w:szCs w:val="24"/>
        </w:rPr>
        <w:t>Załącznik nr 2</w:t>
      </w:r>
    </w:p>
    <w:p w:rsidR="00427BAD" w:rsidRPr="00234D1B" w:rsidRDefault="00427BAD" w:rsidP="00B56CDD">
      <w:pPr>
        <w:suppressAutoHyphens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26B5" w:rsidRPr="00E2400F" w:rsidRDefault="00AB6ECC" w:rsidP="00B56CDD">
      <w:pPr>
        <w:suppressAutoHyphens/>
        <w:spacing w:line="276" w:lineRule="auto"/>
        <w:jc w:val="center"/>
        <w:rPr>
          <w:rFonts w:ascii="Times New Roman" w:hAnsi="Times New Roman"/>
          <w:bCs/>
          <w:color w:val="000000"/>
          <w:sz w:val="24"/>
        </w:rPr>
      </w:pPr>
      <w:r w:rsidRPr="00E2400F">
        <w:rPr>
          <w:rFonts w:ascii="Times New Roman" w:hAnsi="Times New Roman"/>
          <w:sz w:val="24"/>
          <w:szCs w:val="24"/>
        </w:rPr>
        <w:t xml:space="preserve">TESTY, POMIARY I </w:t>
      </w:r>
      <w:r w:rsidR="008B6062" w:rsidRPr="00E2400F">
        <w:rPr>
          <w:rFonts w:ascii="Times New Roman" w:hAnsi="Times New Roman"/>
          <w:sz w:val="24"/>
          <w:szCs w:val="24"/>
        </w:rPr>
        <w:t xml:space="preserve">DOPUSZCZALNE WARTOŚCI TOLERANCJI PARAMETRÓW </w:t>
      </w:r>
      <w:r w:rsidRPr="00E2400F">
        <w:rPr>
          <w:rFonts w:ascii="Times New Roman" w:hAnsi="Times New Roman"/>
          <w:sz w:val="24"/>
          <w:szCs w:val="24"/>
        </w:rPr>
        <w:t xml:space="preserve">LOTNICZYCH URZĄDZEŃ NAZIEMNYCH </w:t>
      </w:r>
      <w:r w:rsidR="00CA62AB" w:rsidRPr="00E2400F">
        <w:rPr>
          <w:rFonts w:ascii="Times New Roman" w:hAnsi="Times New Roman"/>
          <w:sz w:val="24"/>
          <w:szCs w:val="24"/>
        </w:rPr>
        <w:t>SPRAWDZANYCH</w:t>
      </w:r>
      <w:r w:rsidR="00B75853">
        <w:rPr>
          <w:rFonts w:ascii="Times New Roman" w:hAnsi="Times New Roman"/>
          <w:sz w:val="24"/>
          <w:szCs w:val="24"/>
        </w:rPr>
        <w:t xml:space="preserve"> </w:t>
      </w:r>
      <w:r w:rsidR="008B6062" w:rsidRPr="00E2400F">
        <w:rPr>
          <w:rFonts w:ascii="Times New Roman" w:hAnsi="Times New Roman"/>
          <w:sz w:val="24"/>
          <w:szCs w:val="24"/>
        </w:rPr>
        <w:t>PODCZAS KONTROLI Z POWIETRZA</w:t>
      </w:r>
    </w:p>
    <w:p w:rsidR="008B6062" w:rsidRPr="00234D1B" w:rsidRDefault="008B6062" w:rsidP="00B56CDD">
      <w:pPr>
        <w:suppressAutoHyphens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8B6062" w:rsidRDefault="008B6062" w:rsidP="00B56CDD">
      <w:pPr>
        <w:suppressAutoHyphens/>
        <w:spacing w:line="276" w:lineRule="auto"/>
        <w:jc w:val="center"/>
        <w:rPr>
          <w:rFonts w:ascii="Times New Roman" w:hAnsi="Times New Roman"/>
          <w:b/>
          <w:bCs/>
          <w:color w:val="000000"/>
        </w:rPr>
      </w:pPr>
      <w:r w:rsidRPr="00D53FF1">
        <w:rPr>
          <w:rFonts w:ascii="Times New Roman" w:hAnsi="Times New Roman"/>
          <w:b/>
          <w:bCs/>
          <w:color w:val="000000"/>
        </w:rPr>
        <w:t xml:space="preserve">Tabela T.1.1. </w:t>
      </w:r>
      <w:r w:rsidR="00CA62AB">
        <w:rPr>
          <w:rFonts w:ascii="Times New Roman" w:hAnsi="Times New Roman"/>
          <w:b/>
          <w:bCs/>
          <w:color w:val="000000"/>
        </w:rPr>
        <w:t>Dopuszczalna w</w:t>
      </w:r>
      <w:r w:rsidRPr="00D53FF1">
        <w:rPr>
          <w:rFonts w:ascii="Times New Roman" w:hAnsi="Times New Roman"/>
          <w:b/>
          <w:bCs/>
          <w:color w:val="000000"/>
        </w:rPr>
        <w:t xml:space="preserve">artość </w:t>
      </w:r>
      <w:r w:rsidR="00CA62AB">
        <w:rPr>
          <w:rFonts w:ascii="Times New Roman" w:hAnsi="Times New Roman"/>
          <w:b/>
          <w:bCs/>
          <w:color w:val="000000"/>
        </w:rPr>
        <w:t xml:space="preserve">tolerancji </w:t>
      </w:r>
      <w:r w:rsidRPr="00D53FF1">
        <w:rPr>
          <w:rFonts w:ascii="Times New Roman" w:hAnsi="Times New Roman"/>
          <w:b/>
          <w:bCs/>
          <w:color w:val="000000"/>
        </w:rPr>
        <w:t xml:space="preserve">parametru </w:t>
      </w:r>
      <w:r w:rsidR="00AB6ECC" w:rsidRPr="00D53FF1">
        <w:rPr>
          <w:rFonts w:ascii="Times New Roman" w:hAnsi="Times New Roman"/>
          <w:b/>
          <w:bCs/>
          <w:color w:val="000000"/>
        </w:rPr>
        <w:t xml:space="preserve">COM </w:t>
      </w:r>
      <w:r w:rsidR="00CA62AB">
        <w:rPr>
          <w:rFonts w:ascii="Times New Roman" w:hAnsi="Times New Roman"/>
          <w:b/>
          <w:bCs/>
          <w:color w:val="000000"/>
        </w:rPr>
        <w:t xml:space="preserve">sprawdzanego </w:t>
      </w:r>
      <w:r w:rsidR="00E2400F">
        <w:rPr>
          <w:rFonts w:ascii="Times New Roman" w:hAnsi="Times New Roman"/>
          <w:b/>
          <w:bCs/>
          <w:color w:val="000000"/>
        </w:rPr>
        <w:t>podczas kontroli z powietrza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261"/>
      </w:tblGrid>
      <w:tr w:rsidR="008B6062" w:rsidRPr="00E37A57" w:rsidTr="00E37A57">
        <w:trPr>
          <w:trHeight w:val="395"/>
        </w:trPr>
        <w:tc>
          <w:tcPr>
            <w:tcW w:w="5812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Parametr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Wartość</w:t>
            </w:r>
          </w:p>
        </w:tc>
      </w:tr>
      <w:tr w:rsidR="008B6062" w:rsidRPr="00E37A57" w:rsidTr="00E37A57">
        <w:trPr>
          <w:trHeight w:val="400"/>
        </w:trPr>
        <w:tc>
          <w:tcPr>
            <w:tcW w:w="5812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E37A57">
              <w:rPr>
                <w:rFonts w:ascii="Times New Roman" w:hAnsi="Times New Roman"/>
                <w:color w:val="000000"/>
              </w:rPr>
              <w:t>Natężenie pola elektromagnetycznego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E37A57">
              <w:rPr>
                <w:rFonts w:ascii="Times New Roman" w:hAnsi="Times New Roman"/>
                <w:color w:val="000000"/>
              </w:rPr>
              <w:t xml:space="preserve">≥ 75 µV/m (-109 </w:t>
            </w:r>
            <w:proofErr w:type="spellStart"/>
            <w:r w:rsidRPr="00E37A57">
              <w:rPr>
                <w:rFonts w:ascii="Times New Roman" w:hAnsi="Times New Roman"/>
                <w:color w:val="000000"/>
              </w:rPr>
              <w:t>dbW</w:t>
            </w:r>
            <w:proofErr w:type="spellEnd"/>
            <w:r w:rsidRPr="00E37A57">
              <w:rPr>
                <w:rFonts w:ascii="Times New Roman" w:hAnsi="Times New Roman"/>
                <w:color w:val="000000"/>
              </w:rPr>
              <w:t>/m</w:t>
            </w:r>
            <w:r w:rsidRPr="00E37A57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E37A57">
              <w:rPr>
                <w:rFonts w:ascii="Times New Roman" w:hAnsi="Times New Roman"/>
                <w:color w:val="000000"/>
              </w:rPr>
              <w:t>)</w:t>
            </w:r>
          </w:p>
        </w:tc>
      </w:tr>
    </w:tbl>
    <w:p w:rsidR="008B6062" w:rsidRPr="00234D1B" w:rsidRDefault="008B6062" w:rsidP="00B56CDD">
      <w:pPr>
        <w:suppressAutoHyphens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8B6062" w:rsidRDefault="008B6062" w:rsidP="00B56CDD">
      <w:pPr>
        <w:suppressAutoHyphens/>
        <w:spacing w:line="276" w:lineRule="auto"/>
        <w:jc w:val="center"/>
        <w:rPr>
          <w:rFonts w:ascii="Times New Roman" w:hAnsi="Times New Roman"/>
          <w:b/>
          <w:bCs/>
          <w:color w:val="000000"/>
        </w:rPr>
      </w:pPr>
      <w:r w:rsidRPr="00D53FF1">
        <w:rPr>
          <w:rFonts w:ascii="Times New Roman" w:hAnsi="Times New Roman"/>
          <w:b/>
          <w:bCs/>
          <w:color w:val="000000"/>
        </w:rPr>
        <w:t xml:space="preserve">Tabela T.2.1. Testy i pomiary </w:t>
      </w:r>
      <w:r w:rsidR="00AB6ECC" w:rsidRPr="00D53FF1">
        <w:rPr>
          <w:rFonts w:ascii="Times New Roman" w:hAnsi="Times New Roman"/>
          <w:b/>
          <w:bCs/>
          <w:color w:val="000000"/>
        </w:rPr>
        <w:t xml:space="preserve">SUR </w:t>
      </w:r>
      <w:r w:rsidRPr="00D53FF1">
        <w:rPr>
          <w:rFonts w:ascii="Times New Roman" w:hAnsi="Times New Roman"/>
          <w:b/>
          <w:bCs/>
          <w:color w:val="000000"/>
        </w:rPr>
        <w:t>do wykonan</w:t>
      </w:r>
      <w:r w:rsidR="00E2400F">
        <w:rPr>
          <w:rFonts w:ascii="Times New Roman" w:hAnsi="Times New Roman"/>
          <w:b/>
          <w:bCs/>
          <w:color w:val="000000"/>
        </w:rPr>
        <w:t>ia podczas kontroli z powietrza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958"/>
        <w:gridCol w:w="883"/>
      </w:tblGrid>
      <w:tr w:rsidR="008B6062" w:rsidRPr="00E37A57" w:rsidTr="00E37A57">
        <w:tc>
          <w:tcPr>
            <w:tcW w:w="7230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</w:rPr>
              <w:t>Test lub pomiar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</w:rPr>
              <w:t>Typ radaru</w:t>
            </w:r>
          </w:p>
        </w:tc>
      </w:tr>
      <w:tr w:rsidR="008B6062" w:rsidRPr="00E37A57" w:rsidTr="00E37A57">
        <w:tc>
          <w:tcPr>
            <w:tcW w:w="7230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58" w:type="dxa"/>
            <w:shd w:val="clear" w:color="auto" w:fill="auto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</w:rPr>
              <w:t>PSR</w:t>
            </w:r>
          </w:p>
        </w:tc>
        <w:tc>
          <w:tcPr>
            <w:tcW w:w="0" w:type="auto"/>
            <w:shd w:val="clear" w:color="auto" w:fill="auto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</w:rPr>
              <w:t>MSSR</w:t>
            </w:r>
          </w:p>
        </w:tc>
      </w:tr>
      <w:tr w:rsidR="008B6062" w:rsidRPr="00E37A57" w:rsidTr="00E37A57">
        <w:tc>
          <w:tcPr>
            <w:tcW w:w="7230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37A57">
              <w:rPr>
                <w:rFonts w:ascii="Times New Roman" w:hAnsi="Times New Roman"/>
                <w:color w:val="000000"/>
              </w:rPr>
              <w:t>Sprawdzenie maksymalnego zasięgu radaru na różnych wysokościach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√</w:t>
            </w:r>
          </w:p>
        </w:tc>
      </w:tr>
      <w:tr w:rsidR="008B6062" w:rsidRPr="00E37A57" w:rsidTr="00E37A57">
        <w:tc>
          <w:tcPr>
            <w:tcW w:w="7230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37A57">
              <w:rPr>
                <w:rFonts w:ascii="Times New Roman" w:hAnsi="Times New Roman"/>
                <w:color w:val="000000"/>
              </w:rPr>
              <w:t>Sprawdzenie pokrycia radarowego na wybranych azymutach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√</w:t>
            </w:r>
          </w:p>
        </w:tc>
      </w:tr>
      <w:tr w:rsidR="008B6062" w:rsidRPr="00E37A57" w:rsidTr="00E37A57">
        <w:tc>
          <w:tcPr>
            <w:tcW w:w="7230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37A57">
              <w:rPr>
                <w:rFonts w:ascii="Times New Roman" w:hAnsi="Times New Roman"/>
                <w:color w:val="000000"/>
              </w:rPr>
              <w:t>Sprawdzenie dokładności danych o obiekcie (azymut, odległość)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√</w:t>
            </w:r>
          </w:p>
        </w:tc>
      </w:tr>
      <w:tr w:rsidR="008B6062" w:rsidRPr="00E37A57" w:rsidTr="00E37A57">
        <w:tc>
          <w:tcPr>
            <w:tcW w:w="7230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37A57">
              <w:rPr>
                <w:rFonts w:ascii="Times New Roman" w:hAnsi="Times New Roman"/>
                <w:color w:val="000000"/>
              </w:rPr>
              <w:t>Sprawdzenie dekodowania wysokości w modzie C lub S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√</w:t>
            </w:r>
          </w:p>
        </w:tc>
      </w:tr>
      <w:tr w:rsidR="008B6062" w:rsidRPr="00E37A57" w:rsidTr="00E37A57">
        <w:tc>
          <w:tcPr>
            <w:tcW w:w="7230" w:type="dxa"/>
            <w:shd w:val="clear" w:color="auto" w:fill="auto"/>
            <w:vAlign w:val="center"/>
          </w:tcPr>
          <w:p w:rsidR="008B6062" w:rsidRPr="00E37A57" w:rsidRDefault="008B6062" w:rsidP="00BB291D">
            <w:pPr>
              <w:suppressAutoHyphens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37A57">
              <w:rPr>
                <w:rFonts w:ascii="Times New Roman" w:hAnsi="Times New Roman"/>
                <w:color w:val="000000"/>
              </w:rPr>
              <w:t xml:space="preserve">Sprawdzenie poprawności przekazywania informacji </w:t>
            </w:r>
            <w:r w:rsidR="00BB291D">
              <w:rPr>
                <w:rFonts w:ascii="Times New Roman" w:hAnsi="Times New Roman"/>
                <w:color w:val="000000"/>
              </w:rPr>
              <w:t>w modzie</w:t>
            </w:r>
            <w:r w:rsidRPr="00E37A57">
              <w:rPr>
                <w:rFonts w:ascii="Times New Roman" w:hAnsi="Times New Roman"/>
                <w:color w:val="000000"/>
              </w:rPr>
              <w:t xml:space="preserve"> A lub </w:t>
            </w:r>
            <w:r w:rsidR="002B170A">
              <w:rPr>
                <w:rFonts w:ascii="Times New Roman" w:hAnsi="Times New Roman"/>
                <w:color w:val="000000"/>
              </w:rPr>
              <w:t>S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√</w:t>
            </w:r>
          </w:p>
        </w:tc>
      </w:tr>
      <w:tr w:rsidR="008B6062" w:rsidRPr="00E37A57" w:rsidTr="00E37A57">
        <w:tc>
          <w:tcPr>
            <w:tcW w:w="7230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37A57">
              <w:rPr>
                <w:rFonts w:ascii="Times New Roman" w:hAnsi="Times New Roman"/>
                <w:color w:val="000000"/>
              </w:rPr>
              <w:t>Pomiar ogólnego prawdopodobieństwa wykrycia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√</w:t>
            </w:r>
          </w:p>
        </w:tc>
      </w:tr>
      <w:tr w:rsidR="008B6062" w:rsidRPr="00E37A57" w:rsidTr="00E37A57">
        <w:tc>
          <w:tcPr>
            <w:tcW w:w="7230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37A57">
              <w:rPr>
                <w:rFonts w:ascii="Times New Roman" w:hAnsi="Times New Roman"/>
                <w:color w:val="000000"/>
              </w:rPr>
              <w:t>Pomiar czasu przełączania kanałów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√</w:t>
            </w:r>
          </w:p>
        </w:tc>
      </w:tr>
      <w:tr w:rsidR="008B6062" w:rsidRPr="00E37A57" w:rsidTr="00E37A57">
        <w:tc>
          <w:tcPr>
            <w:tcW w:w="7230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37A57">
              <w:rPr>
                <w:rFonts w:ascii="Times New Roman" w:hAnsi="Times New Roman"/>
                <w:color w:val="000000"/>
              </w:rPr>
              <w:t>Zobrazowanie sytuacji na wskaźnikach operacyjnych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√</w:t>
            </w:r>
          </w:p>
        </w:tc>
      </w:tr>
      <w:tr w:rsidR="008B6062" w:rsidRPr="00E37A57" w:rsidTr="00E37A57">
        <w:tc>
          <w:tcPr>
            <w:tcW w:w="7230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rPr>
                <w:rFonts w:ascii="Times New Roman" w:hAnsi="Times New Roman"/>
                <w:color w:val="000000"/>
              </w:rPr>
            </w:pPr>
            <w:r w:rsidRPr="00E37A57">
              <w:rPr>
                <w:rFonts w:ascii="Times New Roman" w:hAnsi="Times New Roman"/>
                <w:color w:val="000000"/>
              </w:rPr>
              <w:t>Zobrazowanie sytuacji na wskaźnikach technicznych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√</w:t>
            </w:r>
          </w:p>
        </w:tc>
      </w:tr>
    </w:tbl>
    <w:p w:rsidR="008B6062" w:rsidRPr="00234D1B" w:rsidRDefault="008B6062" w:rsidP="00B56CDD">
      <w:pPr>
        <w:suppressAutoHyphens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8B6062" w:rsidRDefault="008B6062" w:rsidP="00B56CDD">
      <w:pPr>
        <w:suppressAutoHyphens/>
        <w:spacing w:line="276" w:lineRule="auto"/>
        <w:jc w:val="center"/>
        <w:rPr>
          <w:rFonts w:ascii="Times New Roman" w:hAnsi="Times New Roman"/>
          <w:b/>
          <w:bCs/>
          <w:color w:val="000000"/>
        </w:rPr>
      </w:pPr>
      <w:r w:rsidRPr="008B6062">
        <w:rPr>
          <w:rFonts w:ascii="Times New Roman" w:hAnsi="Times New Roman"/>
          <w:b/>
          <w:bCs/>
          <w:color w:val="000000"/>
        </w:rPr>
        <w:t xml:space="preserve">Tabela T.3.1. </w:t>
      </w:r>
      <w:r w:rsidR="00CA62AB">
        <w:rPr>
          <w:rFonts w:ascii="Times New Roman" w:hAnsi="Times New Roman"/>
          <w:b/>
          <w:bCs/>
          <w:color w:val="000000"/>
        </w:rPr>
        <w:t>Dopuszczalne w</w:t>
      </w:r>
      <w:r w:rsidRPr="008B6062">
        <w:rPr>
          <w:rFonts w:ascii="Times New Roman" w:hAnsi="Times New Roman"/>
          <w:b/>
          <w:bCs/>
          <w:color w:val="000000"/>
        </w:rPr>
        <w:t xml:space="preserve">artości </w:t>
      </w:r>
      <w:r w:rsidR="00CA62AB">
        <w:rPr>
          <w:rFonts w:ascii="Times New Roman" w:hAnsi="Times New Roman"/>
          <w:b/>
          <w:bCs/>
          <w:color w:val="000000"/>
        </w:rPr>
        <w:t xml:space="preserve">tolerancji </w:t>
      </w:r>
      <w:r w:rsidRPr="008B6062">
        <w:rPr>
          <w:rFonts w:ascii="Times New Roman" w:hAnsi="Times New Roman"/>
          <w:b/>
          <w:bCs/>
          <w:color w:val="000000"/>
        </w:rPr>
        <w:t xml:space="preserve">parametrów </w:t>
      </w:r>
      <w:r w:rsidR="00AB6ECC" w:rsidRPr="008B6062">
        <w:rPr>
          <w:rFonts w:ascii="Times New Roman" w:hAnsi="Times New Roman"/>
          <w:b/>
          <w:bCs/>
          <w:color w:val="000000"/>
        </w:rPr>
        <w:t xml:space="preserve">NDB </w:t>
      </w:r>
      <w:r w:rsidRPr="008B6062">
        <w:rPr>
          <w:rFonts w:ascii="Times New Roman" w:hAnsi="Times New Roman"/>
          <w:b/>
          <w:bCs/>
          <w:color w:val="000000"/>
        </w:rPr>
        <w:t>sprawdzany</w:t>
      </w:r>
      <w:r w:rsidR="00E2400F">
        <w:rPr>
          <w:rFonts w:ascii="Times New Roman" w:hAnsi="Times New Roman"/>
          <w:b/>
          <w:bCs/>
          <w:color w:val="000000"/>
        </w:rPr>
        <w:t>ch podczas kontroli z powietrza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276"/>
        <w:gridCol w:w="3260"/>
        <w:gridCol w:w="1134"/>
        <w:gridCol w:w="567"/>
        <w:gridCol w:w="567"/>
      </w:tblGrid>
      <w:tr w:rsidR="008B6062" w:rsidRPr="00E37A57" w:rsidTr="00427BAD">
        <w:trPr>
          <w:trHeight w:val="483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Parametr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 xml:space="preserve">Odniesienie do </w:t>
            </w:r>
            <w:r w:rsidR="00BB291D">
              <w:rPr>
                <w:rFonts w:ascii="Times New Roman" w:hAnsi="Times New Roman"/>
                <w:b/>
                <w:lang w:eastAsia="en-US"/>
              </w:rPr>
              <w:t xml:space="preserve">pkt </w:t>
            </w:r>
            <w:r w:rsidRPr="00E37A57">
              <w:rPr>
                <w:rFonts w:ascii="Times New Roman" w:hAnsi="Times New Roman"/>
                <w:b/>
                <w:lang w:eastAsia="en-US"/>
              </w:rPr>
              <w:t>Zał</w:t>
            </w:r>
            <w:r w:rsidR="00B70718" w:rsidRPr="00E37A57">
              <w:rPr>
                <w:rFonts w:ascii="Times New Roman" w:hAnsi="Times New Roman"/>
                <w:b/>
                <w:lang w:eastAsia="en-US"/>
              </w:rPr>
              <w:t>ącznika</w:t>
            </w:r>
            <w:r w:rsidRPr="00E37A57">
              <w:rPr>
                <w:rFonts w:ascii="Times New Roman" w:hAnsi="Times New Roman"/>
                <w:b/>
                <w:lang w:eastAsia="en-US"/>
              </w:rPr>
              <w:t xml:space="preserve"> 10 Tom I</w:t>
            </w:r>
            <w:r w:rsidR="00B70718" w:rsidRPr="00E37A57">
              <w:rPr>
                <w:rFonts w:ascii="Times New Roman" w:hAnsi="Times New Roman"/>
                <w:b/>
                <w:lang w:eastAsia="en-US"/>
              </w:rPr>
              <w:t xml:space="preserve"> do Konwencji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Mierzona wielkość lub wymagana cecha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Dopuszczalne tolerancje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 xml:space="preserve">lub cel, który musi być osiągnięty </w:t>
            </w:r>
          </w:p>
          <w:p w:rsidR="008B6062" w:rsidRPr="00E37A57" w:rsidRDefault="008D3DBA" w:rsidP="008D3DBA">
            <w:pPr>
              <w:suppressAutoHyphens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podczas</w:t>
            </w:r>
            <w:r w:rsidR="008B6062" w:rsidRPr="00E37A57">
              <w:rPr>
                <w:rFonts w:ascii="Times New Roman" w:hAnsi="Times New Roman"/>
                <w:b/>
                <w:lang w:eastAsia="en-US"/>
              </w:rPr>
              <w:t xml:space="preserve"> kontroli z powietrza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 w:hanging="26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Dokładność pomiaru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</w:rPr>
              <w:t xml:space="preserve">Rodzaj </w:t>
            </w:r>
          </w:p>
          <w:p w:rsidR="008B6062" w:rsidRPr="00E37A57" w:rsidRDefault="008D3DBA" w:rsidP="00A21D73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</w:t>
            </w:r>
            <w:r w:rsidR="008B6062" w:rsidRPr="00E37A57">
              <w:rPr>
                <w:rFonts w:ascii="Times New Roman" w:hAnsi="Times New Roman"/>
                <w:b/>
                <w:bCs/>
                <w:color w:val="000000"/>
              </w:rPr>
              <w:t>ontroli</w:t>
            </w:r>
            <w:r w:rsidR="00434165" w:rsidRPr="00E37A57">
              <w:rPr>
                <w:rFonts w:ascii="Times New Roman" w:hAnsi="Times New Roman"/>
                <w:b/>
                <w:bCs/>
                <w:color w:val="000000"/>
              </w:rPr>
              <w:t>*</w:t>
            </w:r>
          </w:p>
        </w:tc>
      </w:tr>
      <w:tr w:rsidR="008B6062" w:rsidRPr="00E37A57" w:rsidTr="00234D1B">
        <w:trPr>
          <w:cantSplit/>
          <w:trHeight w:val="688"/>
        </w:trPr>
        <w:tc>
          <w:tcPr>
            <w:tcW w:w="1418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108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 w:hanging="26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82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</w:rPr>
              <w:t>W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</w:rPr>
              <w:t>O</w:t>
            </w:r>
          </w:p>
        </w:tc>
      </w:tr>
      <w:tr w:rsidR="008B6062" w:rsidRPr="00E37A57" w:rsidTr="00427BAD">
        <w:tc>
          <w:tcPr>
            <w:tcW w:w="1418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108" w:hanging="142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Sygnał identyfikacyjny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427BAD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427BAD">
              <w:rPr>
                <w:rFonts w:ascii="Times New Roman" w:hAnsi="Times New Roman"/>
                <w:lang w:eastAsia="en-US"/>
              </w:rPr>
              <w:t>3.4.5.1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Znak identyfikacyjny nadawany alfabetem Morse’a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D3DBA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Czytelny i poprawny do granicy zasięgu</w:t>
            </w:r>
          </w:p>
          <w:p w:rsidR="008D3DBA" w:rsidRDefault="008D3DBA" w:rsidP="008D3DBA">
            <w:pPr>
              <w:rPr>
                <w:rFonts w:ascii="Times New Roman" w:hAnsi="Times New Roman"/>
                <w:lang w:eastAsia="en-US"/>
              </w:rPr>
            </w:pPr>
          </w:p>
          <w:p w:rsidR="008D3DBA" w:rsidRDefault="008D3DBA" w:rsidP="008D3DBA">
            <w:pPr>
              <w:rPr>
                <w:rFonts w:ascii="Times New Roman" w:hAnsi="Times New Roman"/>
                <w:lang w:eastAsia="en-US"/>
              </w:rPr>
            </w:pPr>
          </w:p>
          <w:p w:rsidR="008B6062" w:rsidRPr="008D3DBA" w:rsidRDefault="008B6062" w:rsidP="00EA4DD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 w:hanging="26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Ocena subiektywna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  <w:tr w:rsidR="008B6062" w:rsidRPr="00E37A57" w:rsidTr="00427BAD">
        <w:trPr>
          <w:trHeight w:val="583"/>
        </w:trPr>
        <w:tc>
          <w:tcPr>
            <w:tcW w:w="1418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Zasięg na orbicie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427BAD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427BAD">
              <w:rPr>
                <w:rFonts w:ascii="Times New Roman" w:hAnsi="Times New Roman"/>
                <w:lang w:eastAsia="en-US"/>
              </w:rPr>
              <w:t>3.4.2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0718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Moc</w:t>
            </w:r>
            <w:r w:rsidR="00E25ACA">
              <w:rPr>
                <w:rFonts w:ascii="Times New Roman" w:hAnsi="Times New Roman"/>
                <w:lang w:eastAsia="en-US"/>
              </w:rPr>
              <w:t xml:space="preserve"> </w:t>
            </w:r>
            <w:r w:rsidRPr="00E37A57">
              <w:rPr>
                <w:rFonts w:ascii="Times New Roman" w:hAnsi="Times New Roman"/>
                <w:lang w:eastAsia="en-US"/>
              </w:rPr>
              <w:t>sygnału lub kurs</w:t>
            </w:r>
            <w:r w:rsidR="00E25ACA">
              <w:rPr>
                <w:rFonts w:ascii="Times New Roman" w:hAnsi="Times New Roman"/>
                <w:lang w:eastAsia="en-US"/>
              </w:rPr>
              <w:t xml:space="preserve"> </w:t>
            </w:r>
            <w:r w:rsidRPr="00E37A57">
              <w:rPr>
                <w:rFonts w:ascii="Times New Roman" w:hAnsi="Times New Roman"/>
                <w:lang w:eastAsia="en-US"/>
              </w:rPr>
              <w:t>lub</w:t>
            </w: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kluczowanie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Minimalna moc sygnału wymaganego na danym obszarze geograficznym. Oscylacje igły ADF nie mogą przekraczać ±10°  w przestrzeni pokrycia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 w:hanging="26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3dB</w:t>
            </w:r>
          </w:p>
          <w:p w:rsidR="008B6062" w:rsidRPr="00E37A57" w:rsidRDefault="008B6062" w:rsidP="00B56CDD">
            <w:pPr>
              <w:suppressAutoHyphens/>
              <w:ind w:left="-108" w:right="-108" w:hanging="26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2,0°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1D05DB" w:rsidRDefault="000F12E1" w:rsidP="00B56CDD">
            <w:pPr>
              <w:suppressAutoHyphens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D05DB">
              <w:rPr>
                <w:rFonts w:ascii="Times New Roman" w:hAnsi="Times New Roman"/>
                <w:bCs/>
                <w:color w:val="000000"/>
              </w:rPr>
              <w:sym w:font="Symbol" w:char="F0D6"/>
            </w:r>
          </w:p>
        </w:tc>
      </w:tr>
      <w:tr w:rsidR="008B6062" w:rsidRPr="00E37A57" w:rsidTr="00427BAD">
        <w:tc>
          <w:tcPr>
            <w:tcW w:w="1418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Zasięg</w:t>
            </w:r>
          </w:p>
          <w:p w:rsidR="008B6062" w:rsidRPr="00E37A57" w:rsidRDefault="00604913" w:rsidP="00B56CDD">
            <w:pPr>
              <w:suppressAutoHyphens/>
              <w:ind w:right="-10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w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drodze lotniczej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427BAD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427BAD">
              <w:rPr>
                <w:rFonts w:ascii="Times New Roman" w:hAnsi="Times New Roman"/>
                <w:lang w:eastAsia="en-US"/>
              </w:rPr>
              <w:t>3.4.2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Kurs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Oscylacje igły ADF nie mogą przekraczać ±10° w przestrzeni pokrycia</w:t>
            </w:r>
            <w:r w:rsidR="00A21D73">
              <w:rPr>
                <w:rFonts w:ascii="Times New Roman" w:hAnsi="Times New Roman"/>
                <w:lang w:eastAsia="en-US"/>
              </w:rPr>
              <w:t>*</w:t>
            </w:r>
            <w:r w:rsidRPr="00E37A57">
              <w:rPr>
                <w:rFonts w:ascii="Times New Roman" w:hAnsi="Times New Roman"/>
                <w:lang w:eastAsia="en-US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 w:hanging="26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2,0°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  <w:tr w:rsidR="008B6062" w:rsidRPr="00E37A57" w:rsidTr="00427BAD">
        <w:tc>
          <w:tcPr>
            <w:tcW w:w="1418" w:type="dxa"/>
            <w:shd w:val="clear" w:color="auto" w:fill="auto"/>
            <w:vAlign w:val="center"/>
          </w:tcPr>
          <w:p w:rsidR="008B6062" w:rsidRPr="00E37A57" w:rsidRDefault="000F12E1" w:rsidP="00B56CDD">
            <w:pPr>
              <w:suppressAutoHyphens/>
              <w:ind w:right="-10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Strefa oczekiwania i procedura zbliżania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427BAD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6062" w:rsidRPr="00E37A57" w:rsidRDefault="00A95CAE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37A57">
              <w:rPr>
                <w:rFonts w:ascii="Times New Roman" w:hAnsi="Times New Roman"/>
                <w:bCs/>
                <w:color w:val="000000"/>
              </w:rPr>
              <w:t>K</w:t>
            </w:r>
            <w:r w:rsidR="008B6062" w:rsidRPr="00E37A57">
              <w:rPr>
                <w:rFonts w:ascii="Times New Roman" w:hAnsi="Times New Roman"/>
                <w:bCs/>
                <w:color w:val="000000"/>
                <w:lang w:eastAsia="en-US"/>
              </w:rPr>
              <w:t>urs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Oscylacje igły nie mogą przekraczać ±5° oraz nie mogą wystąpić mylące odwrócenia igły dające fałszywe wrażenie przejścia nad stacją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 w:hanging="2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</w:tbl>
    <w:p w:rsidR="008B6062" w:rsidRPr="00074966" w:rsidRDefault="008B6062" w:rsidP="00B56CDD">
      <w:pPr>
        <w:suppressAutoHyphens/>
        <w:rPr>
          <w:rFonts w:ascii="Times New Roman" w:hAnsi="Times New Roman"/>
          <w:sz w:val="10"/>
          <w:szCs w:val="18"/>
        </w:rPr>
      </w:pPr>
    </w:p>
    <w:p w:rsidR="008B6062" w:rsidRPr="00276873" w:rsidRDefault="00A21D73" w:rsidP="00B56CDD">
      <w:pPr>
        <w:suppressAutoHyphens/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*</w:t>
      </w:r>
      <w:r w:rsidR="008B6062" w:rsidRPr="00276873">
        <w:rPr>
          <w:rFonts w:ascii="Times New Roman" w:hAnsi="Times New Roman"/>
          <w:szCs w:val="18"/>
        </w:rPr>
        <w:t>* Radiolatarnia może być uznana za działającą poprawnie, mimo że wskazanie kierunku przekracza tolerowaną wartość, je</w:t>
      </w:r>
      <w:r w:rsidR="008D3DBA">
        <w:rPr>
          <w:rFonts w:ascii="Times New Roman" w:hAnsi="Times New Roman"/>
          <w:szCs w:val="18"/>
        </w:rPr>
        <w:t>że</w:t>
      </w:r>
      <w:r w:rsidR="008B6062" w:rsidRPr="00276873">
        <w:rPr>
          <w:rFonts w:ascii="Times New Roman" w:hAnsi="Times New Roman"/>
          <w:szCs w:val="18"/>
        </w:rPr>
        <w:t>li jest to spowodowane oscylacjami igły ADF, o ile oscylacje trwały mniej niż 4 sekundy (dla radiolatarni wykorzystywanych jako pomoce zbliżania) albo trwały mniej niż 8 sekund (dla radiolatarni wykorzystywanych jako pomoce trasowe).</w:t>
      </w:r>
    </w:p>
    <w:p w:rsidR="008B6062" w:rsidRDefault="008B6062" w:rsidP="00B56CDD">
      <w:pPr>
        <w:suppressAutoHyphens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 xml:space="preserve">* </w:t>
      </w:r>
      <w:r w:rsidRPr="00A44F4F">
        <w:rPr>
          <w:rFonts w:ascii="Times New Roman" w:hAnsi="Times New Roman"/>
          <w:b/>
          <w:szCs w:val="18"/>
        </w:rPr>
        <w:t>W</w:t>
      </w:r>
      <w:r>
        <w:rPr>
          <w:rFonts w:ascii="Times New Roman" w:hAnsi="Times New Roman"/>
          <w:szCs w:val="18"/>
        </w:rPr>
        <w:t xml:space="preserve"> – kontrola wdrożeniowa, </w:t>
      </w:r>
      <w:r w:rsidRPr="00A44F4F">
        <w:rPr>
          <w:rFonts w:ascii="Times New Roman" w:hAnsi="Times New Roman"/>
          <w:b/>
          <w:szCs w:val="18"/>
        </w:rPr>
        <w:t>O</w:t>
      </w:r>
      <w:r>
        <w:rPr>
          <w:rFonts w:ascii="Times New Roman" w:hAnsi="Times New Roman"/>
          <w:szCs w:val="18"/>
        </w:rPr>
        <w:t xml:space="preserve"> – kontrola okresowa</w:t>
      </w:r>
      <w:r w:rsidR="00234D1B">
        <w:rPr>
          <w:rFonts w:ascii="Times New Roman" w:hAnsi="Times New Roman"/>
          <w:szCs w:val="18"/>
        </w:rPr>
        <w:br w:type="page"/>
      </w:r>
    </w:p>
    <w:p w:rsidR="008B6062" w:rsidRDefault="008B6062" w:rsidP="00B56CDD">
      <w:pPr>
        <w:suppressAutoHyphens/>
        <w:jc w:val="center"/>
        <w:rPr>
          <w:rFonts w:ascii="Times New Roman" w:hAnsi="Times New Roman"/>
          <w:b/>
        </w:rPr>
      </w:pPr>
      <w:r w:rsidRPr="00A254A1">
        <w:rPr>
          <w:rFonts w:ascii="Times New Roman" w:hAnsi="Times New Roman"/>
          <w:b/>
        </w:rPr>
        <w:lastRenderedPageBreak/>
        <w:t xml:space="preserve">Tabela T.3.2. </w:t>
      </w:r>
      <w:r w:rsidR="00CA62AB">
        <w:rPr>
          <w:rFonts w:ascii="Times New Roman" w:hAnsi="Times New Roman"/>
          <w:b/>
        </w:rPr>
        <w:t>Dopuszczalne w</w:t>
      </w:r>
      <w:r w:rsidRPr="00A254A1">
        <w:rPr>
          <w:rFonts w:ascii="Times New Roman" w:hAnsi="Times New Roman"/>
          <w:b/>
        </w:rPr>
        <w:t xml:space="preserve">artości </w:t>
      </w:r>
      <w:r w:rsidR="00CA62AB">
        <w:rPr>
          <w:rFonts w:ascii="Times New Roman" w:hAnsi="Times New Roman"/>
          <w:b/>
        </w:rPr>
        <w:t xml:space="preserve">tolerancji </w:t>
      </w:r>
      <w:r w:rsidRPr="00A254A1">
        <w:rPr>
          <w:rFonts w:ascii="Times New Roman" w:hAnsi="Times New Roman"/>
          <w:b/>
        </w:rPr>
        <w:t xml:space="preserve">parametrów </w:t>
      </w:r>
      <w:r w:rsidR="00AB6ECC">
        <w:rPr>
          <w:rFonts w:ascii="Times New Roman" w:hAnsi="Times New Roman"/>
          <w:b/>
        </w:rPr>
        <w:t xml:space="preserve">DVOR </w:t>
      </w:r>
      <w:r w:rsidRPr="00A254A1">
        <w:rPr>
          <w:rFonts w:ascii="Times New Roman" w:hAnsi="Times New Roman"/>
          <w:b/>
        </w:rPr>
        <w:t xml:space="preserve">sprawdzanych podczas kontroli z powietrza </w:t>
      </w:r>
    </w:p>
    <w:p w:rsidR="008B6062" w:rsidRPr="00A44F4F" w:rsidRDefault="008B6062" w:rsidP="00B56CDD">
      <w:pPr>
        <w:suppressAutoHyphens/>
        <w:jc w:val="center"/>
        <w:rPr>
          <w:rFonts w:ascii="Times New Roman" w:hAnsi="Times New Roman"/>
          <w:b/>
          <w:sz w:val="1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842"/>
        <w:gridCol w:w="1276"/>
        <w:gridCol w:w="459"/>
        <w:gridCol w:w="637"/>
      </w:tblGrid>
      <w:tr w:rsidR="008B6062" w:rsidRPr="00E37A57" w:rsidTr="007F42C4">
        <w:tc>
          <w:tcPr>
            <w:tcW w:w="2093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Parametr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B6062" w:rsidRPr="00E37A57" w:rsidRDefault="00B70718" w:rsidP="00B56CDD">
            <w:pPr>
              <w:suppressAutoHyphens/>
              <w:ind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 xml:space="preserve">Odniesienie do </w:t>
            </w:r>
            <w:r w:rsidR="00BB291D">
              <w:rPr>
                <w:rFonts w:ascii="Times New Roman" w:hAnsi="Times New Roman"/>
                <w:b/>
                <w:lang w:eastAsia="en-US"/>
              </w:rPr>
              <w:t xml:space="preserve">pkt </w:t>
            </w:r>
            <w:r w:rsidRPr="00E37A57">
              <w:rPr>
                <w:rFonts w:ascii="Times New Roman" w:hAnsi="Times New Roman"/>
                <w:b/>
                <w:lang w:eastAsia="en-US"/>
              </w:rPr>
              <w:t>Załącznika 10 Tom I do Konwencji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Mierzona wielkość lub wymagana cecha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Dopuszczalne tolerancje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Dokładność pomiaru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</w:rPr>
              <w:t>Rodzaj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</w:rPr>
              <w:t>kontroli</w:t>
            </w:r>
            <w:r w:rsidR="00A21D73">
              <w:rPr>
                <w:rFonts w:ascii="Times New Roman" w:hAnsi="Times New Roman"/>
                <w:b/>
                <w:bCs/>
                <w:color w:val="000000"/>
              </w:rPr>
              <w:t>*</w:t>
            </w:r>
          </w:p>
        </w:tc>
      </w:tr>
      <w:tr w:rsidR="008B6062" w:rsidRPr="00E37A57" w:rsidTr="007F42C4">
        <w:trPr>
          <w:trHeight w:val="486"/>
        </w:trPr>
        <w:tc>
          <w:tcPr>
            <w:tcW w:w="2093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</w:rPr>
              <w:t>W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</w:rPr>
              <w:t>O</w:t>
            </w:r>
          </w:p>
        </w:tc>
      </w:tr>
      <w:tr w:rsidR="008B6062" w:rsidRPr="00E37A57" w:rsidTr="007F42C4">
        <w:tc>
          <w:tcPr>
            <w:tcW w:w="2093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Rotacja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3.3.1.1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Zgodn</w:t>
            </w:r>
            <w:r w:rsidR="00966090" w:rsidRPr="00E37A57">
              <w:rPr>
                <w:rFonts w:ascii="Times New Roman" w:hAnsi="Times New Roman"/>
                <w:lang w:eastAsia="en-US"/>
              </w:rPr>
              <w:t>ie</w:t>
            </w:r>
            <w:r w:rsidRPr="00E37A57">
              <w:rPr>
                <w:rFonts w:ascii="Times New Roman" w:hAnsi="Times New Roman"/>
                <w:lang w:eastAsia="en-US"/>
              </w:rPr>
              <w:t xml:space="preserve"> z ruchem wsk</w:t>
            </w:r>
            <w:r w:rsidR="005841CD" w:rsidRPr="00E37A57">
              <w:rPr>
                <w:rFonts w:ascii="Times New Roman" w:hAnsi="Times New Roman"/>
                <w:lang w:eastAsia="en-US"/>
              </w:rPr>
              <w:t>azówek</w:t>
            </w:r>
            <w:r w:rsidRPr="00E37A57">
              <w:rPr>
                <w:rFonts w:ascii="Times New Roman" w:hAnsi="Times New Roman"/>
                <w:lang w:eastAsia="en-US"/>
              </w:rPr>
              <w:t xml:space="preserve"> zegara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poprawna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both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  <w:tr w:rsidR="008B6062" w:rsidRPr="00E37A57" w:rsidTr="007F42C4">
        <w:tc>
          <w:tcPr>
            <w:tcW w:w="2093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Orientacja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3.3.1.3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Poprawność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poprawna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both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  <w:tr w:rsidR="008B6062" w:rsidRPr="00E37A57" w:rsidTr="007F42C4">
        <w:tc>
          <w:tcPr>
            <w:tcW w:w="2093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Polaryzacja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3.3.3.1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Dewiacja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±2,0°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0,3°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both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  <w:tr w:rsidR="008B6062" w:rsidRPr="00E37A57" w:rsidTr="00EA4DDB">
        <w:trPr>
          <w:trHeight w:val="1770"/>
        </w:trPr>
        <w:tc>
          <w:tcPr>
            <w:tcW w:w="2093" w:type="dxa"/>
            <w:shd w:val="clear" w:color="auto" w:fill="auto"/>
            <w:vAlign w:val="center"/>
          </w:tcPr>
          <w:p w:rsidR="00BA0EEA" w:rsidRDefault="008B6062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Dokładność </w:t>
            </w:r>
          </w:p>
          <w:p w:rsidR="008B6062" w:rsidRPr="00E37A57" w:rsidRDefault="008D3DBA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</w:t>
            </w:r>
            <w:r w:rsidR="008B6062" w:rsidRPr="00E37A57">
              <w:rPr>
                <w:rFonts w:ascii="Times New Roman" w:hAnsi="Times New Roman"/>
                <w:lang w:eastAsia="en-US"/>
              </w:rPr>
              <w:t>harakterystyk</w:t>
            </w:r>
            <w:r w:rsidR="00D0465A">
              <w:rPr>
                <w:rFonts w:ascii="Times New Roman" w:hAnsi="Times New Roman"/>
                <w:lang w:eastAsia="en-US"/>
              </w:rPr>
              <w:t>:</w:t>
            </w:r>
          </w:p>
          <w:p w:rsidR="008B6062" w:rsidRPr="00E37A57" w:rsidRDefault="00D0465A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-b</w:t>
            </w:r>
            <w:r w:rsidR="008B6062" w:rsidRPr="00E37A57">
              <w:rPr>
                <w:rFonts w:ascii="Times New Roman" w:hAnsi="Times New Roman"/>
                <w:lang w:eastAsia="en-US"/>
              </w:rPr>
              <w:t>łąd ustawienia</w:t>
            </w:r>
          </w:p>
          <w:p w:rsidR="008B6062" w:rsidRPr="00E37A57" w:rsidRDefault="00D0465A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-u</w:t>
            </w:r>
            <w:r w:rsidR="008B6062" w:rsidRPr="00E37A57">
              <w:rPr>
                <w:rFonts w:ascii="Times New Roman" w:hAnsi="Times New Roman"/>
                <w:lang w:eastAsia="en-US"/>
              </w:rPr>
              <w:t>gięcia</w:t>
            </w:r>
          </w:p>
          <w:p w:rsidR="008B6062" w:rsidRPr="00E37A57" w:rsidRDefault="00D0465A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-f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alowania i </w:t>
            </w:r>
            <w:proofErr w:type="spellStart"/>
            <w:r w:rsidR="008B6062" w:rsidRPr="00E37A57">
              <w:rPr>
                <w:rFonts w:ascii="Times New Roman" w:hAnsi="Times New Roman"/>
                <w:lang w:eastAsia="en-US"/>
              </w:rPr>
              <w:t>wyzębienia</w:t>
            </w:r>
            <w:proofErr w:type="spellEnd"/>
          </w:p>
          <w:p w:rsidR="00BA0EEA" w:rsidRDefault="008B6062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-przydatność do </w:t>
            </w:r>
          </w:p>
          <w:p w:rsidR="008B6062" w:rsidRPr="00E37A57" w:rsidRDefault="008B6062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nawigacji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3.3.3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84A0F" w:rsidRDefault="00384A0F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Dewiacja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Ocena 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pilota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84A0F" w:rsidRDefault="00384A0F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±2,0°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±3,5°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±3,0°</w:t>
            </w:r>
          </w:p>
          <w:p w:rsidR="00384A0F" w:rsidRDefault="00384A0F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Zdatne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4A0F" w:rsidRDefault="00384A0F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0,6°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0,6°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0,3°</w:t>
            </w:r>
          </w:p>
          <w:p w:rsidR="00D0465A" w:rsidRDefault="00D0465A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Subiektywne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both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  <w:tr w:rsidR="008B6062" w:rsidRPr="00E37A57" w:rsidTr="007F42C4">
        <w:tc>
          <w:tcPr>
            <w:tcW w:w="2093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Zasięg użyteczny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3.3.4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Natężenie pola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41CD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val="en-US" w:eastAsia="en-US"/>
              </w:rPr>
            </w:pPr>
            <w:r w:rsidRPr="00E37A57">
              <w:rPr>
                <w:rFonts w:ascii="Times New Roman" w:hAnsi="Times New Roman"/>
                <w:lang w:val="en-US" w:eastAsia="en-US"/>
              </w:rPr>
              <w:t xml:space="preserve">90µV/m 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val="en-US" w:eastAsia="en-US"/>
              </w:rPr>
            </w:pPr>
            <w:r w:rsidRPr="00E37A57">
              <w:rPr>
                <w:rFonts w:ascii="Times New Roman" w:hAnsi="Times New Roman"/>
                <w:lang w:val="en-US" w:eastAsia="en-US"/>
              </w:rPr>
              <w:t xml:space="preserve">(-106,5 </w:t>
            </w:r>
            <w:proofErr w:type="spellStart"/>
            <w:r w:rsidRPr="00E37A57">
              <w:rPr>
                <w:rFonts w:ascii="Times New Roman" w:hAnsi="Times New Roman"/>
                <w:lang w:val="en-US" w:eastAsia="en-US"/>
              </w:rPr>
              <w:t>dBW</w:t>
            </w:r>
            <w:proofErr w:type="spellEnd"/>
            <w:r w:rsidRPr="00E37A57">
              <w:rPr>
                <w:rFonts w:ascii="Times New Roman" w:hAnsi="Times New Roman"/>
                <w:lang w:val="en-US" w:eastAsia="en-US"/>
              </w:rPr>
              <w:t>/m</w:t>
            </w:r>
            <w:r w:rsidRPr="00E37A57">
              <w:rPr>
                <w:rFonts w:ascii="Times New Roman" w:hAnsi="Times New Roman"/>
                <w:vertAlign w:val="superscript"/>
                <w:lang w:val="en-US" w:eastAsia="en-US"/>
              </w:rPr>
              <w:t>2</w:t>
            </w:r>
            <w:r w:rsidRPr="00E37A57">
              <w:rPr>
                <w:rFonts w:ascii="Times New Roman" w:hAnsi="Times New Roman"/>
                <w:lang w:val="en-US" w:eastAsia="en-US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val="en-US" w:eastAsia="en-US"/>
              </w:rPr>
            </w:pPr>
            <w:r w:rsidRPr="00E37A57">
              <w:rPr>
                <w:rFonts w:ascii="Times New Roman" w:hAnsi="Times New Roman"/>
                <w:lang w:val="en-US" w:eastAsia="en-US"/>
              </w:rPr>
              <w:t>3dB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both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  <w:tr w:rsidR="008B6062" w:rsidRPr="00E37A57" w:rsidTr="007F42C4">
        <w:tc>
          <w:tcPr>
            <w:tcW w:w="2093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Modulacja</w:t>
            </w:r>
          </w:p>
          <w:p w:rsidR="008B6062" w:rsidRPr="00E37A57" w:rsidRDefault="008B6062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9960 </w:t>
            </w:r>
            <w:proofErr w:type="spellStart"/>
            <w:r w:rsidRPr="00E37A57">
              <w:rPr>
                <w:rFonts w:ascii="Times New Roman" w:hAnsi="Times New Roman"/>
                <w:lang w:eastAsia="en-US"/>
              </w:rPr>
              <w:t>Hz</w:t>
            </w:r>
            <w:proofErr w:type="spellEnd"/>
          </w:p>
          <w:p w:rsidR="008B6062" w:rsidRPr="00E37A57" w:rsidRDefault="008B6062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30 </w:t>
            </w:r>
            <w:proofErr w:type="spellStart"/>
            <w:r w:rsidRPr="00E37A57">
              <w:rPr>
                <w:rFonts w:ascii="Times New Roman" w:hAnsi="Times New Roman"/>
                <w:lang w:eastAsia="en-US"/>
              </w:rPr>
              <w:t>Hz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3.3.5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0EEA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Głębokość 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modulacji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D05DB" w:rsidRDefault="001D05DB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VOR: 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28 – 32% </w:t>
            </w:r>
          </w:p>
          <w:p w:rsidR="001D05DB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DVOR</w:t>
            </w:r>
            <w:r w:rsidR="001D05DB">
              <w:rPr>
                <w:rFonts w:ascii="Times New Roman" w:hAnsi="Times New Roman"/>
                <w:lang w:eastAsia="en-US"/>
              </w:rPr>
              <w:t>:</w:t>
            </w:r>
          </w:p>
          <w:p w:rsidR="001D05DB" w:rsidRDefault="008B6062" w:rsidP="00B56CDD">
            <w:pPr>
              <w:suppressAutoHyphens/>
              <w:ind w:left="-124" w:right="-92" w:firstLine="124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dla kąta  &lt;5°</w:t>
            </w:r>
          </w:p>
          <w:p w:rsidR="000D5A53" w:rsidRDefault="00F374A3" w:rsidP="00B56CDD">
            <w:pPr>
              <w:suppressAutoHyphens/>
              <w:ind w:left="-124" w:right="-92" w:firstLine="12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9960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Hz</w:t>
            </w:r>
            <w:proofErr w:type="spellEnd"/>
            <w:r w:rsidR="000D5A53">
              <w:rPr>
                <w:rFonts w:ascii="Times New Roman" w:hAnsi="Times New Roman"/>
                <w:lang w:eastAsia="en-US"/>
              </w:rPr>
              <w:t>:</w:t>
            </w:r>
          </w:p>
          <w:p w:rsidR="000D5A53" w:rsidRDefault="00F374A3" w:rsidP="00B56CDD">
            <w:pPr>
              <w:suppressAutoHyphens/>
              <w:ind w:left="-124" w:right="-92" w:firstLine="12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  <w:r w:rsidR="00C1251C">
              <w:rPr>
                <w:rFonts w:ascii="Times New Roman" w:hAnsi="Times New Roman"/>
                <w:lang w:eastAsia="en-US"/>
              </w:rPr>
              <w:t>–</w:t>
            </w:r>
            <w:r>
              <w:rPr>
                <w:rFonts w:ascii="Times New Roman" w:hAnsi="Times New Roman"/>
                <w:lang w:eastAsia="en-US"/>
              </w:rPr>
              <w:t xml:space="preserve">55%, </w:t>
            </w:r>
          </w:p>
          <w:p w:rsidR="000D5A53" w:rsidRDefault="00F374A3" w:rsidP="00B56CDD">
            <w:pPr>
              <w:suppressAutoHyphens/>
              <w:ind w:left="-124" w:right="-92" w:firstLine="12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30Hz</w:t>
            </w:r>
            <w:r w:rsidR="000D5A53">
              <w:rPr>
                <w:rFonts w:ascii="Times New Roman" w:hAnsi="Times New Roman"/>
                <w:lang w:eastAsia="en-US"/>
              </w:rPr>
              <w:t>:</w:t>
            </w:r>
          </w:p>
          <w:p w:rsidR="008B6062" w:rsidRPr="00E37A57" w:rsidRDefault="00F374A3" w:rsidP="00B56CDD">
            <w:pPr>
              <w:suppressAutoHyphens/>
              <w:ind w:left="-124" w:right="-92" w:firstLine="124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</w:t>
            </w:r>
            <w:r w:rsidR="00C1251C">
              <w:rPr>
                <w:rFonts w:ascii="Times New Roman" w:hAnsi="Times New Roman"/>
                <w:lang w:eastAsia="en-US"/>
              </w:rPr>
              <w:t>–</w:t>
            </w:r>
            <w:r>
              <w:rPr>
                <w:rFonts w:ascii="Times New Roman" w:hAnsi="Times New Roman"/>
                <w:lang w:eastAsia="en-US"/>
              </w:rPr>
              <w:t>35%</w:t>
            </w:r>
            <w:r w:rsidR="008B6062" w:rsidRPr="00E37A57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val="en-US" w:eastAsia="en-US"/>
              </w:rPr>
            </w:pPr>
            <w:r w:rsidRPr="00E37A57">
              <w:rPr>
                <w:rFonts w:ascii="Times New Roman" w:hAnsi="Times New Roman"/>
                <w:lang w:val="en-US" w:eastAsia="en-US"/>
              </w:rPr>
              <w:t>1%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both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  <w:tr w:rsidR="008B6062" w:rsidRPr="00E37A57" w:rsidTr="007F42C4">
        <w:tc>
          <w:tcPr>
            <w:tcW w:w="2093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Sygnał identyfikacyjny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3.3.6.5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B6062" w:rsidRPr="00E37A57" w:rsidRDefault="005841CD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Sygnał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identyfikac</w:t>
            </w:r>
            <w:r w:rsidR="00966090" w:rsidRPr="00E37A57">
              <w:rPr>
                <w:rFonts w:ascii="Times New Roman" w:hAnsi="Times New Roman"/>
                <w:lang w:eastAsia="en-US"/>
              </w:rPr>
              <w:t>yjny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nadawany </w:t>
            </w:r>
            <w:proofErr w:type="spellStart"/>
            <w:r w:rsidR="008B6062" w:rsidRPr="00E37A57">
              <w:rPr>
                <w:rFonts w:ascii="Times New Roman" w:hAnsi="Times New Roman"/>
                <w:lang w:eastAsia="en-US"/>
              </w:rPr>
              <w:t>Morse’</w:t>
            </w:r>
            <w:r w:rsidR="00B17FCF" w:rsidRPr="00E37A57">
              <w:rPr>
                <w:rFonts w:ascii="Times New Roman" w:hAnsi="Times New Roman"/>
                <w:lang w:eastAsia="en-US"/>
              </w:rPr>
              <w:t>m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Czytelny i poprawny do granicy zasię</w:t>
            </w:r>
            <w:r w:rsidR="005841CD" w:rsidRPr="00E37A57">
              <w:rPr>
                <w:rFonts w:ascii="Times New Roman" w:hAnsi="Times New Roman"/>
                <w:lang w:eastAsia="en-US"/>
              </w:rPr>
              <w:t>gu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Ocena subiektywna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both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  <w:tr w:rsidR="008B6062" w:rsidRPr="00E37A57" w:rsidTr="00EA4DDB">
        <w:trPr>
          <w:trHeight w:val="877"/>
        </w:trPr>
        <w:tc>
          <w:tcPr>
            <w:tcW w:w="2093" w:type="dxa"/>
            <w:shd w:val="clear" w:color="auto" w:fill="auto"/>
            <w:vAlign w:val="center"/>
          </w:tcPr>
          <w:p w:rsidR="00BA0EEA" w:rsidRDefault="008B6062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Monitorowanie </w:t>
            </w:r>
          </w:p>
          <w:p w:rsidR="008B6062" w:rsidRPr="00E37A57" w:rsidRDefault="008B6062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kierunku</w:t>
            </w:r>
            <w:r w:rsidRPr="00E37A57">
              <w:rPr>
                <w:rFonts w:ascii="Times New Roman" w:hAnsi="Times New Roman"/>
                <w:lang w:eastAsia="en-US"/>
              </w:rPr>
              <w:br/>
              <w:t>(</w:t>
            </w:r>
            <w:proofErr w:type="spellStart"/>
            <w:r w:rsidRPr="00E37A57">
              <w:rPr>
                <w:rFonts w:ascii="Times New Roman" w:hAnsi="Times New Roman"/>
                <w:lang w:eastAsia="en-US"/>
              </w:rPr>
              <w:t>radial</w:t>
            </w:r>
            <w:proofErr w:type="spellEnd"/>
            <w:r w:rsidRPr="00E37A57">
              <w:rPr>
                <w:rFonts w:ascii="Times New Roman" w:hAnsi="Times New Roman"/>
                <w:lang w:eastAsia="en-US"/>
              </w:rPr>
              <w:t xml:space="preserve"> odniesienia)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3.3.7.1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Dewiacja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±1,0°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val="en-US"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0,3°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A21D73" w:rsidRPr="00C542D9" w:rsidRDefault="00A21D73" w:rsidP="00B56CDD">
      <w:pPr>
        <w:suppressAutoHyphens/>
        <w:rPr>
          <w:rFonts w:ascii="Times New Roman" w:hAnsi="Times New Roman"/>
          <w:b/>
          <w:sz w:val="10"/>
        </w:rPr>
      </w:pPr>
    </w:p>
    <w:p w:rsidR="00873D0B" w:rsidRDefault="00873D0B" w:rsidP="00E14DB1">
      <w:pPr>
        <w:suppressAutoHyphens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 xml:space="preserve">* </w:t>
      </w:r>
      <w:r w:rsidRPr="00A44F4F">
        <w:rPr>
          <w:rFonts w:ascii="Times New Roman" w:hAnsi="Times New Roman"/>
          <w:b/>
          <w:szCs w:val="18"/>
        </w:rPr>
        <w:t>W</w:t>
      </w:r>
      <w:r>
        <w:rPr>
          <w:rFonts w:ascii="Times New Roman" w:hAnsi="Times New Roman"/>
          <w:szCs w:val="18"/>
        </w:rPr>
        <w:t xml:space="preserve"> – kontrola wdrożeniowa, </w:t>
      </w:r>
      <w:r w:rsidRPr="00A44F4F">
        <w:rPr>
          <w:rFonts w:ascii="Times New Roman" w:hAnsi="Times New Roman"/>
          <w:b/>
          <w:szCs w:val="18"/>
        </w:rPr>
        <w:t>O</w:t>
      </w:r>
      <w:r>
        <w:rPr>
          <w:rFonts w:ascii="Times New Roman" w:hAnsi="Times New Roman"/>
          <w:szCs w:val="18"/>
        </w:rPr>
        <w:t xml:space="preserve"> – kontrola okresowa</w:t>
      </w:r>
    </w:p>
    <w:p w:rsidR="005B3109" w:rsidRDefault="005B3109" w:rsidP="00E14DB1">
      <w:pPr>
        <w:suppressAutoHyphens/>
        <w:rPr>
          <w:rFonts w:ascii="Times New Roman" w:hAnsi="Times New Roman"/>
          <w:b/>
        </w:rPr>
      </w:pPr>
    </w:p>
    <w:p w:rsidR="008B6062" w:rsidRDefault="008B6062" w:rsidP="00B56CDD">
      <w:pPr>
        <w:suppressAutoHyphens/>
        <w:jc w:val="center"/>
        <w:rPr>
          <w:rFonts w:ascii="Times New Roman" w:hAnsi="Times New Roman"/>
          <w:b/>
        </w:rPr>
      </w:pPr>
      <w:r w:rsidRPr="00777123">
        <w:rPr>
          <w:rFonts w:ascii="Times New Roman" w:hAnsi="Times New Roman"/>
          <w:b/>
        </w:rPr>
        <w:t xml:space="preserve">Tabela T.3.3. </w:t>
      </w:r>
      <w:r w:rsidR="00CA62AB">
        <w:rPr>
          <w:rFonts w:ascii="Times New Roman" w:hAnsi="Times New Roman"/>
          <w:b/>
        </w:rPr>
        <w:t>Dopuszczalne w</w:t>
      </w:r>
      <w:r w:rsidRPr="00777123">
        <w:rPr>
          <w:rFonts w:ascii="Times New Roman" w:hAnsi="Times New Roman"/>
          <w:b/>
        </w:rPr>
        <w:t xml:space="preserve">artości </w:t>
      </w:r>
      <w:r w:rsidR="00CA62AB">
        <w:rPr>
          <w:rFonts w:ascii="Times New Roman" w:hAnsi="Times New Roman"/>
          <w:b/>
        </w:rPr>
        <w:t xml:space="preserve">tolerancji </w:t>
      </w:r>
      <w:r w:rsidRPr="00777123">
        <w:rPr>
          <w:rFonts w:ascii="Times New Roman" w:hAnsi="Times New Roman"/>
          <w:b/>
        </w:rPr>
        <w:t xml:space="preserve">parametrów </w:t>
      </w:r>
      <w:r w:rsidR="00AB6ECC" w:rsidRPr="00777123">
        <w:rPr>
          <w:rFonts w:ascii="Times New Roman" w:hAnsi="Times New Roman"/>
          <w:b/>
        </w:rPr>
        <w:t>DME</w:t>
      </w:r>
      <w:r w:rsidR="00E2400F">
        <w:rPr>
          <w:rFonts w:ascii="Times New Roman" w:hAnsi="Times New Roman"/>
          <w:b/>
        </w:rPr>
        <w:t xml:space="preserve"> </w:t>
      </w:r>
      <w:r w:rsidRPr="00777123">
        <w:rPr>
          <w:rFonts w:ascii="Times New Roman" w:hAnsi="Times New Roman"/>
          <w:b/>
        </w:rPr>
        <w:t>sprawdzany</w:t>
      </w:r>
      <w:r w:rsidR="00E2400F">
        <w:rPr>
          <w:rFonts w:ascii="Times New Roman" w:hAnsi="Times New Roman"/>
          <w:b/>
        </w:rPr>
        <w:t>ch podczas kontroli z powietrza</w:t>
      </w:r>
    </w:p>
    <w:p w:rsidR="00672149" w:rsidRPr="00672149" w:rsidRDefault="00672149" w:rsidP="00B56CDD">
      <w:pPr>
        <w:suppressAutoHyphens/>
        <w:jc w:val="center"/>
        <w:rPr>
          <w:rFonts w:ascii="Times New Roman" w:hAnsi="Times New Roman"/>
          <w:b/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1844"/>
        <w:gridCol w:w="2834"/>
        <w:gridCol w:w="1134"/>
        <w:gridCol w:w="425"/>
        <w:gridCol w:w="425"/>
      </w:tblGrid>
      <w:tr w:rsidR="008B6062" w:rsidRPr="00E37A57" w:rsidTr="00234D1B">
        <w:tc>
          <w:tcPr>
            <w:tcW w:w="1384" w:type="dxa"/>
            <w:vMerge w:val="restart"/>
            <w:shd w:val="clear" w:color="auto" w:fill="auto"/>
            <w:vAlign w:val="center"/>
          </w:tcPr>
          <w:p w:rsidR="008B6062" w:rsidRPr="00E37A57" w:rsidRDefault="00E2400F" w:rsidP="00B56CDD">
            <w:pPr>
              <w:suppressAutoHyphens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</w:rPr>
              <w:tab/>
            </w:r>
            <w:r w:rsidR="008B6062" w:rsidRPr="00E37A57">
              <w:rPr>
                <w:rFonts w:ascii="Times New Roman" w:hAnsi="Times New Roman"/>
                <w:b/>
                <w:lang w:eastAsia="en-US"/>
              </w:rPr>
              <w:t>Parametr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B6062" w:rsidRPr="00E37A57" w:rsidRDefault="00B70718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 xml:space="preserve">Odniesienie do </w:t>
            </w:r>
            <w:r w:rsidR="00BB291D">
              <w:rPr>
                <w:rFonts w:ascii="Times New Roman" w:hAnsi="Times New Roman"/>
                <w:b/>
                <w:lang w:eastAsia="en-US"/>
              </w:rPr>
              <w:t xml:space="preserve">pkt </w:t>
            </w:r>
            <w:r w:rsidRPr="00E37A57">
              <w:rPr>
                <w:rFonts w:ascii="Times New Roman" w:hAnsi="Times New Roman"/>
                <w:b/>
                <w:lang w:eastAsia="en-US"/>
              </w:rPr>
              <w:t>Załącznika 10 Tom I do Konwencji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Mierzona wielkość lub wymagana cecha</w:t>
            </w:r>
          </w:p>
        </w:tc>
        <w:tc>
          <w:tcPr>
            <w:tcW w:w="2834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Dopuszczalne tolerancje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93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Dokładność pomiaru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</w:rPr>
              <w:t>Rodzaj</w:t>
            </w:r>
          </w:p>
          <w:p w:rsidR="008B6062" w:rsidRPr="00E37A57" w:rsidRDefault="00AF0CDC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</w:t>
            </w:r>
            <w:r w:rsidR="008B6062" w:rsidRPr="00E37A57">
              <w:rPr>
                <w:rFonts w:ascii="Times New Roman" w:hAnsi="Times New Roman"/>
                <w:b/>
                <w:bCs/>
                <w:color w:val="000000"/>
              </w:rPr>
              <w:t>ontroli</w:t>
            </w:r>
            <w:r w:rsidR="00A21D73">
              <w:rPr>
                <w:rFonts w:ascii="Times New Roman" w:hAnsi="Times New Roman"/>
                <w:b/>
                <w:bCs/>
                <w:color w:val="000000"/>
              </w:rPr>
              <w:t>*</w:t>
            </w:r>
          </w:p>
        </w:tc>
      </w:tr>
      <w:tr w:rsidR="008B6062" w:rsidRPr="00E37A57" w:rsidTr="00234D1B">
        <w:trPr>
          <w:trHeight w:val="325"/>
        </w:trPr>
        <w:tc>
          <w:tcPr>
            <w:tcW w:w="1384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108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93" w:right="-108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</w:rPr>
              <w:t>W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</w:rPr>
              <w:t>O</w:t>
            </w:r>
          </w:p>
        </w:tc>
      </w:tr>
      <w:tr w:rsidR="008B6062" w:rsidRPr="00E37A57" w:rsidTr="00234D1B">
        <w:tc>
          <w:tcPr>
            <w:tcW w:w="138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Zasięg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 w:hanging="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3.5.3.1.2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i/>
                <w:lang w:val="en-US" w:eastAsia="en-US"/>
              </w:rPr>
            </w:pPr>
            <w:proofErr w:type="spellStart"/>
            <w:r w:rsidRPr="00E37A57">
              <w:rPr>
                <w:rFonts w:ascii="Times New Roman" w:hAnsi="Times New Roman"/>
                <w:lang w:val="en-US" w:eastAsia="en-US"/>
              </w:rPr>
              <w:t>Poziom</w:t>
            </w:r>
            <w:proofErr w:type="spellEnd"/>
            <w:r w:rsidRPr="00E37A57">
              <w:rPr>
                <w:rFonts w:ascii="Times New Roman" w:hAnsi="Times New Roman"/>
                <w:lang w:val="en-US" w:eastAsia="en-US"/>
              </w:rPr>
              <w:t xml:space="preserve"> AGC (</w:t>
            </w:r>
            <w:r w:rsidRPr="00E37A57">
              <w:rPr>
                <w:rFonts w:ascii="Times New Roman" w:hAnsi="Times New Roman"/>
                <w:i/>
                <w:lang w:val="en-US" w:eastAsia="en-US"/>
              </w:rPr>
              <w:t>Automatic Gain Control)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Sygnał zapewniający natężenie pola ≥-89 </w:t>
            </w:r>
            <w:proofErr w:type="spellStart"/>
            <w:r w:rsidRPr="00E37A57">
              <w:rPr>
                <w:rFonts w:ascii="Times New Roman" w:hAnsi="Times New Roman"/>
                <w:lang w:eastAsia="en-US"/>
              </w:rPr>
              <w:t>dBW</w:t>
            </w:r>
            <w:proofErr w:type="spellEnd"/>
            <w:r w:rsidRPr="00E37A57">
              <w:rPr>
                <w:rFonts w:ascii="Times New Roman" w:hAnsi="Times New Roman"/>
                <w:lang w:eastAsia="en-US"/>
              </w:rPr>
              <w:t>/m</w:t>
            </w:r>
            <w:r w:rsidRPr="00E37A57">
              <w:rPr>
                <w:rFonts w:ascii="Times New Roman" w:hAnsi="Times New Roman"/>
                <w:vertAlign w:val="superscript"/>
                <w:lang w:eastAsia="en-US"/>
              </w:rPr>
              <w:t xml:space="preserve">2 </w:t>
            </w:r>
            <w:r w:rsidRPr="00E37A57">
              <w:rPr>
                <w:rFonts w:ascii="Times New Roman" w:hAnsi="Times New Roman"/>
                <w:lang w:eastAsia="en-US"/>
              </w:rPr>
              <w:t>do granic zasięgu lub wg wymogów operacyjnych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93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1dB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both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  <w:tr w:rsidR="008B6062" w:rsidRPr="00E37A57" w:rsidTr="00234D1B">
        <w:tc>
          <w:tcPr>
            <w:tcW w:w="138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Dokładność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 w:hanging="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3.5.4.5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Odległość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≤150m </w:t>
            </w:r>
          </w:p>
          <w:p w:rsidR="008B6062" w:rsidRPr="00E37A57" w:rsidRDefault="008B6062" w:rsidP="00B56CDD">
            <w:pPr>
              <w:suppressAutoHyphens/>
              <w:ind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≤75m dla urządzeń współpracujących z systemami podejścia do lądowania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93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20m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both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  <w:tr w:rsidR="008B6062" w:rsidRPr="00E37A57" w:rsidTr="00234D1B">
        <w:tc>
          <w:tcPr>
            <w:tcW w:w="138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Kształt impulsu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 w:hanging="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3.5.4.1.3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Czas, amplituda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Czas narastania ≤3µs</w:t>
            </w:r>
          </w:p>
          <w:p w:rsidR="008B6062" w:rsidRPr="00E37A57" w:rsidRDefault="008B6062" w:rsidP="00B56CDD">
            <w:pPr>
              <w:suppressAutoHyphens/>
              <w:ind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Czas trwania =3,5µs, ±0,5µs</w:t>
            </w:r>
          </w:p>
          <w:p w:rsidR="008B6062" w:rsidRPr="00E37A57" w:rsidRDefault="008B6062" w:rsidP="00B56CDD">
            <w:pPr>
              <w:suppressAutoHyphens/>
              <w:ind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Czas zanikania ≤3,5µs</w:t>
            </w:r>
          </w:p>
          <w:p w:rsidR="008B6062" w:rsidRPr="00E37A57" w:rsidRDefault="008B6062" w:rsidP="00B56CDD">
            <w:pPr>
              <w:suppressAutoHyphens/>
              <w:ind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Amplituda: między 95% wzrostu lub spadku amplitudy, </w:t>
            </w:r>
          </w:p>
          <w:p w:rsidR="008B6062" w:rsidRPr="00E37A57" w:rsidRDefault="008B6062" w:rsidP="00B56CDD">
            <w:pPr>
              <w:suppressAutoHyphens/>
              <w:ind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≥95% maksymalnej amplitudy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93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0,1µs</w:t>
            </w:r>
          </w:p>
          <w:p w:rsidR="008B6062" w:rsidRPr="00E37A57" w:rsidRDefault="008B6062" w:rsidP="00B56CDD">
            <w:pPr>
              <w:suppressAutoHyphens/>
              <w:ind w:left="-93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1%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6062" w:rsidRPr="003C63A0" w:rsidRDefault="0021134C" w:rsidP="00B56CDD">
            <w:pPr>
              <w:suppressAutoHyphens/>
              <w:jc w:val="both"/>
              <w:rPr>
                <w:b/>
                <w:lang w:eastAsia="en-US"/>
              </w:rPr>
            </w:pPr>
            <w:r w:rsidRPr="003C63A0">
              <w:rPr>
                <w:rFonts w:ascii="Times New Roman" w:hAnsi="Times New Roman"/>
                <w:b/>
                <w:bCs/>
                <w:color w:val="000000"/>
                <w:sz w:val="24"/>
              </w:rPr>
              <w:t>-</w:t>
            </w:r>
          </w:p>
        </w:tc>
      </w:tr>
      <w:tr w:rsidR="008B6062" w:rsidRPr="00E37A57" w:rsidTr="00234D1B">
        <w:tc>
          <w:tcPr>
            <w:tcW w:w="138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lastRenderedPageBreak/>
              <w:t>Odstęp</w:t>
            </w:r>
            <w:r w:rsidR="00F06ADB">
              <w:rPr>
                <w:rFonts w:ascii="Times New Roman" w:hAnsi="Times New Roman"/>
                <w:lang w:eastAsia="en-US"/>
              </w:rPr>
              <w:t xml:space="preserve"> </w:t>
            </w:r>
            <w:r w:rsidRPr="00E37A57">
              <w:rPr>
                <w:rFonts w:ascii="Times New Roman" w:hAnsi="Times New Roman"/>
                <w:lang w:eastAsia="en-US"/>
              </w:rPr>
              <w:t>między impuls</w:t>
            </w:r>
            <w:r w:rsidR="00A95CAE" w:rsidRPr="00E37A57">
              <w:rPr>
                <w:rFonts w:ascii="Times New Roman" w:hAnsi="Times New Roman"/>
                <w:lang w:eastAsia="en-US"/>
              </w:rPr>
              <w:t>ami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 w:hanging="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3.5.4.1.4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Czas, amplituda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Kanał X: 12 ±0,25µs</w:t>
            </w:r>
          </w:p>
          <w:p w:rsidR="008B6062" w:rsidRPr="00E37A57" w:rsidRDefault="008B6062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Kanał Y: 30 ±0,25µs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93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0,05µs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6062" w:rsidRPr="003C63A0" w:rsidRDefault="0021134C" w:rsidP="00B56CDD">
            <w:pPr>
              <w:suppressAutoHyphens/>
              <w:jc w:val="both"/>
              <w:rPr>
                <w:b/>
                <w:lang w:eastAsia="en-US"/>
              </w:rPr>
            </w:pPr>
            <w:r w:rsidRPr="003C63A0">
              <w:rPr>
                <w:rFonts w:ascii="Times New Roman" w:hAnsi="Times New Roman"/>
                <w:b/>
                <w:bCs/>
                <w:color w:val="000000"/>
                <w:sz w:val="24"/>
              </w:rPr>
              <w:t>-</w:t>
            </w:r>
          </w:p>
        </w:tc>
      </w:tr>
      <w:tr w:rsidR="008B6062" w:rsidRPr="00E37A57" w:rsidTr="00234D1B">
        <w:tc>
          <w:tcPr>
            <w:tcW w:w="138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Sygnał identyfikacyjny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 w:hanging="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3.5.3.6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8B6062" w:rsidRPr="00E37A57" w:rsidRDefault="00B17FCF" w:rsidP="00B56CDD">
            <w:pPr>
              <w:suppressAutoHyphens/>
              <w:ind w:lef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Sygnał identyfikacyjny nadawany </w:t>
            </w:r>
            <w:proofErr w:type="spellStart"/>
            <w:r w:rsidRPr="00E37A57">
              <w:rPr>
                <w:rFonts w:ascii="Times New Roman" w:hAnsi="Times New Roman"/>
                <w:lang w:eastAsia="en-US"/>
              </w:rPr>
              <w:t>Morse’m</w:t>
            </w:r>
            <w:proofErr w:type="spellEnd"/>
          </w:p>
        </w:tc>
        <w:tc>
          <w:tcPr>
            <w:tcW w:w="28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Czytelny i poprawny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93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Ocena subiektywna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both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  <w:tr w:rsidR="008B6062" w:rsidRPr="00E37A57" w:rsidTr="00234D1B">
        <w:tc>
          <w:tcPr>
            <w:tcW w:w="138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Skuteczność odpowiedzi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Zmiany skuteczności, pozycja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Wskazać obszary</w:t>
            </w:r>
            <w:r w:rsidR="00CA7E2D" w:rsidRPr="00E37A57">
              <w:rPr>
                <w:rFonts w:ascii="Times New Roman" w:hAnsi="Times New Roman"/>
                <w:lang w:eastAsia="en-US"/>
              </w:rPr>
              <w:t>,</w:t>
            </w:r>
            <w:r w:rsidRPr="00E37A57">
              <w:rPr>
                <w:rFonts w:ascii="Times New Roman" w:hAnsi="Times New Roman"/>
                <w:lang w:eastAsia="en-US"/>
              </w:rPr>
              <w:t xml:space="preserve"> gdzie zmiany są znaczące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93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Nie dotyczy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both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  <w:tr w:rsidR="008B6062" w:rsidRPr="00E37A57" w:rsidTr="00234D1B">
        <w:tc>
          <w:tcPr>
            <w:tcW w:w="138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Wyłączenia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Wyłączenie,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 pozycja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Wskazać, gdzie następuje wyłączenie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93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Nie dotyczy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both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</w:tbl>
    <w:p w:rsidR="008B6062" w:rsidRDefault="00873D0B" w:rsidP="00E14DB1">
      <w:pPr>
        <w:suppressAutoHyphens/>
        <w:rPr>
          <w:rFonts w:ascii="Times New Roman" w:hAnsi="Times New Roman"/>
          <w:b/>
        </w:rPr>
      </w:pPr>
      <w:r>
        <w:rPr>
          <w:rFonts w:ascii="Times New Roman" w:hAnsi="Times New Roman"/>
          <w:szCs w:val="18"/>
        </w:rPr>
        <w:t xml:space="preserve">* </w:t>
      </w:r>
      <w:r w:rsidRPr="00A44F4F">
        <w:rPr>
          <w:rFonts w:ascii="Times New Roman" w:hAnsi="Times New Roman"/>
          <w:b/>
          <w:szCs w:val="18"/>
        </w:rPr>
        <w:t>W</w:t>
      </w:r>
      <w:r>
        <w:rPr>
          <w:rFonts w:ascii="Times New Roman" w:hAnsi="Times New Roman"/>
          <w:szCs w:val="18"/>
        </w:rPr>
        <w:t xml:space="preserve"> – kontrola wdrożeniowa, </w:t>
      </w:r>
      <w:r w:rsidRPr="00A44F4F">
        <w:rPr>
          <w:rFonts w:ascii="Times New Roman" w:hAnsi="Times New Roman"/>
          <w:b/>
          <w:szCs w:val="18"/>
        </w:rPr>
        <w:t>O</w:t>
      </w:r>
      <w:r>
        <w:rPr>
          <w:rFonts w:ascii="Times New Roman" w:hAnsi="Times New Roman"/>
          <w:szCs w:val="18"/>
        </w:rPr>
        <w:t xml:space="preserve"> – kontrola okresowa</w:t>
      </w:r>
    </w:p>
    <w:p w:rsidR="00A95CAE" w:rsidRDefault="00A95CAE" w:rsidP="00B56CDD">
      <w:pPr>
        <w:suppressAutoHyphens/>
        <w:jc w:val="center"/>
        <w:rPr>
          <w:rFonts w:ascii="Times New Roman" w:hAnsi="Times New Roman"/>
          <w:b/>
        </w:rPr>
      </w:pPr>
    </w:p>
    <w:p w:rsidR="008B6062" w:rsidRDefault="00BB291D" w:rsidP="00B56CDD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Tabela </w:t>
      </w:r>
      <w:r w:rsidR="008B6062" w:rsidRPr="00132C8E">
        <w:rPr>
          <w:rFonts w:ascii="Times New Roman" w:hAnsi="Times New Roman"/>
          <w:b/>
        </w:rPr>
        <w:t>T.3.4. Wymagania dotyczące limitów alarmowych monitorów ILS</w:t>
      </w:r>
    </w:p>
    <w:p w:rsidR="00672149" w:rsidRPr="00672149" w:rsidRDefault="00672149" w:rsidP="00B56CDD">
      <w:pPr>
        <w:suppressAutoHyphens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701"/>
        <w:gridCol w:w="1985"/>
        <w:gridCol w:w="2126"/>
        <w:gridCol w:w="1984"/>
      </w:tblGrid>
      <w:tr w:rsidR="008B6062" w:rsidRPr="00E37A57" w:rsidTr="00E37A57">
        <w:trPr>
          <w:trHeight w:val="490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 w:rsidRPr="00E37A57">
              <w:rPr>
                <w:rFonts w:ascii="Times New Roman" w:hAnsi="Times New Roman"/>
                <w:b/>
                <w:bCs/>
                <w:lang w:eastAsia="en-US"/>
              </w:rPr>
              <w:t>Rodzaj</w:t>
            </w:r>
          </w:p>
          <w:p w:rsidR="008B6062" w:rsidRPr="00E37A57" w:rsidRDefault="00B17FCF" w:rsidP="00B56CDD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E37A57">
              <w:rPr>
                <w:rFonts w:ascii="Times New Roman" w:hAnsi="Times New Roman"/>
                <w:b/>
                <w:bCs/>
                <w:lang w:eastAsia="en-US"/>
              </w:rPr>
              <w:t xml:space="preserve">urządzenia </w:t>
            </w:r>
            <w:r w:rsidR="008B6062" w:rsidRPr="00E37A57">
              <w:rPr>
                <w:rFonts w:ascii="Times New Roman" w:hAnsi="Times New Roman"/>
                <w:b/>
                <w:bCs/>
                <w:lang w:eastAsia="en-US"/>
              </w:rPr>
              <w:t xml:space="preserve"> ILS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 w:rsidRPr="00E37A57">
              <w:rPr>
                <w:rFonts w:ascii="Times New Roman" w:hAnsi="Times New Roman"/>
                <w:b/>
                <w:bCs/>
                <w:lang w:eastAsia="en-US"/>
              </w:rPr>
              <w:t>Parametr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b/>
                <w:bCs/>
                <w:lang w:eastAsia="en-US"/>
              </w:rPr>
              <w:t>kontrolowany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lang w:eastAsia="en-US"/>
              </w:rPr>
              <w:t>Wymagania dla ILS kategorii:</w:t>
            </w:r>
          </w:p>
        </w:tc>
      </w:tr>
      <w:tr w:rsidR="008B6062" w:rsidRPr="00E37A57" w:rsidTr="00E37A57">
        <w:trPr>
          <w:trHeight w:val="412"/>
        </w:trPr>
        <w:tc>
          <w:tcPr>
            <w:tcW w:w="1384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lang w:eastAsia="en-US"/>
              </w:rPr>
              <w:t>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lang w:eastAsia="en-US"/>
              </w:rPr>
              <w:t>II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lang w:eastAsia="en-US"/>
              </w:rPr>
              <w:t>III</w:t>
            </w:r>
          </w:p>
        </w:tc>
      </w:tr>
      <w:tr w:rsidR="008B6062" w:rsidRPr="00E37A57" w:rsidTr="00E37A57">
        <w:trPr>
          <w:trHeight w:val="794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val="en-US"/>
              </w:rPr>
            </w:pPr>
            <w:r w:rsidRPr="00E37A57">
              <w:rPr>
                <w:rFonts w:ascii="Times New Roman" w:hAnsi="Times New Roman"/>
                <w:lang w:val="en-US" w:eastAsia="en-US"/>
              </w:rPr>
              <w:t>ILS LOC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Kurs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10,5m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7,5m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6m</w:t>
            </w:r>
          </w:p>
        </w:tc>
      </w:tr>
      <w:tr w:rsidR="008B6062" w:rsidRPr="00E37A57" w:rsidTr="00E37A57">
        <w:trPr>
          <w:trHeight w:val="794"/>
        </w:trPr>
        <w:tc>
          <w:tcPr>
            <w:tcW w:w="1384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Czułość przemieszczania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17%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nominalnej wartości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17%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nominalnej wartości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1</w:t>
            </w:r>
            <w:r w:rsidR="0021134C">
              <w:rPr>
                <w:rFonts w:ascii="Times New Roman" w:hAnsi="Times New Roman"/>
                <w:lang w:eastAsia="en-US"/>
              </w:rPr>
              <w:t>0</w:t>
            </w:r>
            <w:r w:rsidRPr="00E37A57">
              <w:rPr>
                <w:rFonts w:ascii="Times New Roman" w:hAnsi="Times New Roman"/>
                <w:lang w:eastAsia="en-US"/>
              </w:rPr>
              <w:t>%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nominalnej wartości</w:t>
            </w:r>
          </w:p>
        </w:tc>
      </w:tr>
      <w:tr w:rsidR="008B6062" w:rsidRPr="00E37A57" w:rsidTr="00E37A57">
        <w:trPr>
          <w:trHeight w:val="794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ILS GP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Kąt ścieżki schodzenia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±7,5%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nominalnej wartości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±7,5%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nominalnej wartości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±</w:t>
            </w:r>
            <w:r w:rsidR="0021134C">
              <w:rPr>
                <w:rFonts w:ascii="Times New Roman" w:hAnsi="Times New Roman"/>
                <w:lang w:eastAsia="en-US"/>
              </w:rPr>
              <w:t>4</w:t>
            </w:r>
            <w:r w:rsidRPr="00E37A57">
              <w:rPr>
                <w:rFonts w:ascii="Times New Roman" w:hAnsi="Times New Roman"/>
                <w:lang w:eastAsia="en-US"/>
              </w:rPr>
              <w:t>%</w:t>
            </w:r>
          </w:p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nominalnej wartości</w:t>
            </w:r>
          </w:p>
        </w:tc>
      </w:tr>
      <w:tr w:rsidR="008B6062" w:rsidRPr="00E37A57" w:rsidTr="00E37A57">
        <w:trPr>
          <w:trHeight w:val="794"/>
        </w:trPr>
        <w:tc>
          <w:tcPr>
            <w:tcW w:w="1384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E37A57">
              <w:rPr>
                <w:rFonts w:ascii="Times New Roman" w:hAnsi="Times New Roman"/>
                <w:lang w:eastAsia="en-US"/>
              </w:rPr>
              <w:t>Czułość przemieszczania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134C" w:rsidRPr="000F7FC1" w:rsidRDefault="008B6062" w:rsidP="00B56CDD">
            <w:pPr>
              <w:suppressAutoHyphens/>
              <w:jc w:val="center"/>
              <w:rPr>
                <w:rFonts w:ascii="Times New Roman" w:hAnsi="Times New Roman"/>
                <w:lang w:eastAsia="en-US"/>
              </w:rPr>
            </w:pPr>
            <w:r w:rsidRPr="000F7FC1">
              <w:rPr>
                <w:rFonts w:ascii="Times New Roman" w:hAnsi="Times New Roman"/>
                <w:lang w:eastAsia="en-US"/>
              </w:rPr>
              <w:t>±</w:t>
            </w:r>
            <w:r w:rsidR="0021134C" w:rsidRPr="000F7FC1">
              <w:rPr>
                <w:rFonts w:ascii="Times New Roman" w:hAnsi="Times New Roman"/>
                <w:lang w:eastAsia="en-US"/>
              </w:rPr>
              <w:t>25%</w:t>
            </w:r>
          </w:p>
          <w:p w:rsidR="008B6062" w:rsidRPr="000F7FC1" w:rsidRDefault="001D05DB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0F7FC1">
              <w:rPr>
                <w:rFonts w:ascii="Times New Roman" w:hAnsi="Times New Roman"/>
                <w:lang w:eastAsia="en-US"/>
              </w:rPr>
              <w:t>nominalnej wartości</w:t>
            </w:r>
            <w:r w:rsidR="000F7FC1">
              <w:rPr>
                <w:rFonts w:ascii="Times New Roman" w:hAnsi="Times New Roman"/>
                <w:lang w:eastAsia="en-US"/>
              </w:rPr>
              <w:t xml:space="preserve"> </w:t>
            </w:r>
            <w:r w:rsidR="00D85C30" w:rsidRPr="000F7FC1">
              <w:rPr>
                <w:rFonts w:ascii="Times New Roman" w:hAnsi="Times New Roman"/>
                <w:lang w:eastAsia="en-US"/>
              </w:rPr>
              <w:t>c</w:t>
            </w:r>
            <w:r w:rsidR="0021134C" w:rsidRPr="000F7FC1">
              <w:rPr>
                <w:rFonts w:ascii="Times New Roman" w:hAnsi="Times New Roman"/>
                <w:lang w:eastAsia="en-US"/>
              </w:rPr>
              <w:t>zułości przemieszczania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B6062" w:rsidRPr="000F7FC1" w:rsidRDefault="0021134C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0F7FC1">
              <w:rPr>
                <w:rFonts w:ascii="Times New Roman" w:hAnsi="Times New Roman"/>
                <w:lang w:eastAsia="en-US"/>
              </w:rPr>
              <w:t>±</w:t>
            </w:r>
            <w:r w:rsidR="008B6062" w:rsidRPr="000F7FC1">
              <w:rPr>
                <w:rFonts w:ascii="Times New Roman" w:hAnsi="Times New Roman"/>
                <w:lang w:eastAsia="en-US"/>
              </w:rPr>
              <w:t>2</w:t>
            </w:r>
            <w:r w:rsidRPr="000F7FC1">
              <w:rPr>
                <w:rFonts w:ascii="Times New Roman" w:hAnsi="Times New Roman"/>
                <w:lang w:eastAsia="en-US"/>
              </w:rPr>
              <w:t>0</w:t>
            </w:r>
            <w:r w:rsidR="008B6062" w:rsidRPr="000F7FC1">
              <w:rPr>
                <w:rFonts w:ascii="Times New Roman" w:hAnsi="Times New Roman"/>
                <w:lang w:eastAsia="en-US"/>
              </w:rPr>
              <w:t>%</w:t>
            </w:r>
          </w:p>
          <w:p w:rsidR="008B6062" w:rsidRPr="000F7FC1" w:rsidRDefault="001D05DB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0F7FC1">
              <w:rPr>
                <w:rFonts w:ascii="Times New Roman" w:hAnsi="Times New Roman"/>
                <w:lang w:eastAsia="en-US"/>
              </w:rPr>
              <w:t>nominalnej wartości</w:t>
            </w:r>
            <w:r w:rsidR="000F7FC1">
              <w:rPr>
                <w:rFonts w:ascii="Times New Roman" w:hAnsi="Times New Roman"/>
                <w:lang w:eastAsia="en-US"/>
              </w:rPr>
              <w:t xml:space="preserve"> </w:t>
            </w:r>
            <w:r w:rsidR="00D85C30" w:rsidRPr="000F7FC1">
              <w:rPr>
                <w:rFonts w:ascii="Times New Roman" w:hAnsi="Times New Roman"/>
                <w:lang w:eastAsia="en-US"/>
              </w:rPr>
              <w:t>cz</w:t>
            </w:r>
            <w:r w:rsidR="0021134C" w:rsidRPr="000F7FC1">
              <w:rPr>
                <w:rFonts w:ascii="Times New Roman" w:hAnsi="Times New Roman"/>
                <w:lang w:eastAsia="en-US"/>
              </w:rPr>
              <w:t>ułości przemieszczania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6062" w:rsidRPr="000F7FC1" w:rsidRDefault="0021134C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0F7FC1">
              <w:rPr>
                <w:rFonts w:ascii="Times New Roman" w:hAnsi="Times New Roman"/>
                <w:lang w:eastAsia="en-US"/>
              </w:rPr>
              <w:t>±1</w:t>
            </w:r>
            <w:r w:rsidR="008B6062" w:rsidRPr="000F7FC1">
              <w:rPr>
                <w:rFonts w:ascii="Times New Roman" w:hAnsi="Times New Roman"/>
                <w:lang w:eastAsia="en-US"/>
              </w:rPr>
              <w:t>5%</w:t>
            </w:r>
          </w:p>
          <w:p w:rsidR="008B6062" w:rsidRPr="000F7FC1" w:rsidRDefault="001D05DB" w:rsidP="00B56CDD">
            <w:pPr>
              <w:suppressAutoHyphens/>
              <w:jc w:val="center"/>
              <w:rPr>
                <w:rFonts w:ascii="Times New Roman" w:hAnsi="Times New Roman"/>
              </w:rPr>
            </w:pPr>
            <w:r w:rsidRPr="000F7FC1">
              <w:rPr>
                <w:rFonts w:ascii="Times New Roman" w:hAnsi="Times New Roman"/>
                <w:lang w:eastAsia="en-US"/>
              </w:rPr>
              <w:t>nominalnej wartości</w:t>
            </w:r>
            <w:r w:rsidR="000F7FC1">
              <w:rPr>
                <w:rFonts w:ascii="Times New Roman" w:hAnsi="Times New Roman"/>
                <w:lang w:eastAsia="en-US"/>
              </w:rPr>
              <w:t xml:space="preserve"> </w:t>
            </w:r>
            <w:r w:rsidR="00D85C30" w:rsidRPr="000F7FC1">
              <w:rPr>
                <w:rFonts w:ascii="Times New Roman" w:hAnsi="Times New Roman"/>
                <w:lang w:eastAsia="en-US"/>
              </w:rPr>
              <w:t>c</w:t>
            </w:r>
            <w:r w:rsidR="0021134C" w:rsidRPr="000F7FC1">
              <w:rPr>
                <w:rFonts w:ascii="Times New Roman" w:hAnsi="Times New Roman"/>
                <w:lang w:eastAsia="en-US"/>
              </w:rPr>
              <w:t>zułości przemieszczania</w:t>
            </w:r>
          </w:p>
        </w:tc>
      </w:tr>
    </w:tbl>
    <w:p w:rsidR="003302FB" w:rsidRDefault="00234D1B" w:rsidP="00B56CDD">
      <w:pPr>
        <w:suppressAutoHyphens/>
        <w:ind w:left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581673" w:rsidRDefault="008B6062" w:rsidP="00B56CDD">
      <w:pPr>
        <w:suppressAutoHyphens/>
        <w:ind w:left="720" w:hanging="720"/>
        <w:jc w:val="center"/>
        <w:rPr>
          <w:rFonts w:ascii="Times New Roman" w:hAnsi="Times New Roman"/>
          <w:b/>
        </w:rPr>
      </w:pPr>
      <w:r w:rsidRPr="00321AF6">
        <w:rPr>
          <w:rFonts w:ascii="Times New Roman" w:hAnsi="Times New Roman"/>
          <w:b/>
        </w:rPr>
        <w:lastRenderedPageBreak/>
        <w:t xml:space="preserve">Tabela T.3.5. </w:t>
      </w:r>
      <w:r w:rsidR="00CA62AB">
        <w:rPr>
          <w:rFonts w:ascii="Times New Roman" w:hAnsi="Times New Roman"/>
          <w:b/>
        </w:rPr>
        <w:t>Dopuszczalne w</w:t>
      </w:r>
      <w:r w:rsidRPr="00321AF6">
        <w:rPr>
          <w:rFonts w:ascii="Times New Roman" w:hAnsi="Times New Roman"/>
          <w:b/>
        </w:rPr>
        <w:t xml:space="preserve">artości </w:t>
      </w:r>
      <w:r w:rsidR="00CA62AB">
        <w:rPr>
          <w:rFonts w:ascii="Times New Roman" w:hAnsi="Times New Roman"/>
          <w:b/>
        </w:rPr>
        <w:t xml:space="preserve">tolerancji </w:t>
      </w:r>
      <w:r w:rsidRPr="00321AF6">
        <w:rPr>
          <w:rFonts w:ascii="Times New Roman" w:hAnsi="Times New Roman"/>
          <w:b/>
        </w:rPr>
        <w:t xml:space="preserve">parametrów </w:t>
      </w:r>
      <w:r w:rsidR="00DE691D" w:rsidRPr="00321AF6">
        <w:rPr>
          <w:rFonts w:ascii="Times New Roman" w:hAnsi="Times New Roman"/>
          <w:b/>
        </w:rPr>
        <w:t xml:space="preserve">ILS LOC </w:t>
      </w:r>
      <w:r w:rsidRPr="00321AF6">
        <w:rPr>
          <w:rFonts w:ascii="Times New Roman" w:hAnsi="Times New Roman"/>
          <w:b/>
        </w:rPr>
        <w:t xml:space="preserve">sprawdzanych </w:t>
      </w:r>
      <w:r w:rsidR="00E2400F">
        <w:rPr>
          <w:rFonts w:ascii="Times New Roman" w:hAnsi="Times New Roman"/>
          <w:b/>
        </w:rPr>
        <w:t>podczas kontroli z powietrza</w:t>
      </w:r>
    </w:p>
    <w:p w:rsidR="00672149" w:rsidRPr="000F7FC1" w:rsidRDefault="00672149" w:rsidP="00B56CDD">
      <w:pPr>
        <w:suppressAutoHyphens/>
        <w:ind w:left="720" w:hanging="720"/>
        <w:jc w:val="center"/>
        <w:rPr>
          <w:rFonts w:ascii="Times New Roman" w:hAnsi="Times New Roman"/>
          <w:b/>
          <w:sz w:val="10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417"/>
        <w:gridCol w:w="3686"/>
        <w:gridCol w:w="1276"/>
        <w:gridCol w:w="425"/>
        <w:gridCol w:w="425"/>
      </w:tblGrid>
      <w:tr w:rsidR="00831479" w:rsidRPr="00E37A57" w:rsidTr="003B1B41">
        <w:trPr>
          <w:trHeight w:val="744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831479" w:rsidRPr="00E37A57" w:rsidRDefault="00831479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Parametr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31479" w:rsidRPr="00E37A57" w:rsidRDefault="004D7C0E" w:rsidP="00BB291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Odniesienie do </w:t>
            </w:r>
            <w:r w:rsidR="00BB291D">
              <w:rPr>
                <w:rFonts w:ascii="Times New Roman" w:hAnsi="Times New Roman"/>
                <w:b/>
                <w:lang w:eastAsia="en-US"/>
              </w:rPr>
              <w:t xml:space="preserve">pkt </w:t>
            </w:r>
            <w:r>
              <w:rPr>
                <w:rFonts w:ascii="Times New Roman" w:hAnsi="Times New Roman"/>
                <w:b/>
                <w:lang w:eastAsia="en-US"/>
              </w:rPr>
              <w:t>Zał</w:t>
            </w:r>
            <w:r w:rsidR="00BB291D">
              <w:rPr>
                <w:rFonts w:ascii="Times New Roman" w:hAnsi="Times New Roman"/>
                <w:b/>
                <w:lang w:eastAsia="en-US"/>
              </w:rPr>
              <w:t xml:space="preserve">ącznika </w:t>
            </w:r>
            <w:r w:rsidR="00831479" w:rsidRPr="00E37A57">
              <w:rPr>
                <w:rFonts w:ascii="Times New Roman" w:hAnsi="Times New Roman"/>
                <w:b/>
                <w:lang w:eastAsia="en-US"/>
              </w:rPr>
              <w:t xml:space="preserve"> 10 Tom I do Konwencji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31479" w:rsidRPr="00E37A57" w:rsidRDefault="00831479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Mierzona wielkość lub wymagana cecha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831479" w:rsidRPr="00E37A57" w:rsidRDefault="00831479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Dopuszczalne tolerancje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31479" w:rsidRPr="00E37A57" w:rsidRDefault="00831479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Dokładność pomiaru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31479" w:rsidRPr="00E37A57" w:rsidRDefault="00831479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</w:rPr>
              <w:t>Rodzaj</w:t>
            </w:r>
          </w:p>
          <w:p w:rsidR="00831479" w:rsidRPr="00E37A57" w:rsidRDefault="00AF0CDC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</w:t>
            </w:r>
            <w:r w:rsidR="00831479" w:rsidRPr="00E37A57">
              <w:rPr>
                <w:rFonts w:ascii="Times New Roman" w:hAnsi="Times New Roman"/>
                <w:b/>
                <w:bCs/>
                <w:color w:val="000000"/>
              </w:rPr>
              <w:t>ontroli</w:t>
            </w:r>
            <w:r w:rsidR="00A21D73">
              <w:rPr>
                <w:rFonts w:ascii="Times New Roman" w:hAnsi="Times New Roman"/>
                <w:b/>
                <w:bCs/>
                <w:color w:val="000000"/>
              </w:rPr>
              <w:t>*</w:t>
            </w:r>
          </w:p>
        </w:tc>
      </w:tr>
      <w:tr w:rsidR="003B1B41" w:rsidRPr="00E37A57" w:rsidTr="003B1B41">
        <w:trPr>
          <w:cantSplit/>
          <w:trHeight w:val="56"/>
        </w:trPr>
        <w:tc>
          <w:tcPr>
            <w:tcW w:w="1418" w:type="dxa"/>
            <w:vMerge/>
            <w:shd w:val="clear" w:color="auto" w:fill="auto"/>
            <w:vAlign w:val="center"/>
          </w:tcPr>
          <w:p w:rsidR="00831479" w:rsidRPr="00E37A57" w:rsidRDefault="00831479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31479" w:rsidRPr="00E37A57" w:rsidRDefault="00831479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31479" w:rsidRPr="00E37A57" w:rsidRDefault="00831479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831479" w:rsidRPr="00E37A57" w:rsidRDefault="00831479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1479" w:rsidRPr="00E37A57" w:rsidRDefault="00831479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31479" w:rsidRPr="00E37A57" w:rsidRDefault="00831479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W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1479" w:rsidRPr="00E37A57" w:rsidRDefault="00581673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O</w:t>
            </w:r>
          </w:p>
        </w:tc>
      </w:tr>
      <w:tr w:rsidR="003B1B41" w:rsidRPr="00E37A57" w:rsidTr="003B1B41">
        <w:trPr>
          <w:trHeight w:val="724"/>
        </w:trPr>
        <w:tc>
          <w:tcPr>
            <w:tcW w:w="1418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Sygnał identyfikacyjny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3.1.3.9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Sygnał identyfikacyjny nadawany </w:t>
            </w:r>
            <w:proofErr w:type="spellStart"/>
            <w:r w:rsidRPr="00E37A57">
              <w:rPr>
                <w:rFonts w:ascii="Times New Roman" w:hAnsi="Times New Roman"/>
                <w:lang w:eastAsia="en-US"/>
              </w:rPr>
              <w:t>Morse’m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Czytelny i poprawny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Ocena subiektywna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20E00" w:rsidRPr="001D05DB" w:rsidRDefault="00581673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1D05DB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sym w:font="Symbol" w:char="F0D6"/>
            </w:r>
          </w:p>
        </w:tc>
      </w:tr>
      <w:tr w:rsidR="003B1B41" w:rsidRPr="00E37A57" w:rsidTr="003B1B41">
        <w:trPr>
          <w:trHeight w:val="511"/>
        </w:trPr>
        <w:tc>
          <w:tcPr>
            <w:tcW w:w="1418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Modulacja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 Głębokość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3.1.3.5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Głębokość modulacji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18%-22%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±0,5%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20E00" w:rsidRPr="001D05DB" w:rsidRDefault="00581673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1D05DB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sym w:font="Symbol" w:char="F0D6"/>
            </w:r>
          </w:p>
        </w:tc>
      </w:tr>
      <w:tr w:rsidR="003B1B41" w:rsidRPr="00E37A57" w:rsidTr="003B1B41">
        <w:trPr>
          <w:trHeight w:val="920"/>
        </w:trPr>
        <w:tc>
          <w:tcPr>
            <w:tcW w:w="1418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Czułość przemieszczania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3.1.3.7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DDM</w:t>
            </w:r>
          </w:p>
        </w:tc>
        <w:tc>
          <w:tcPr>
            <w:tcW w:w="3686" w:type="dxa"/>
            <w:shd w:val="clear" w:color="auto" w:fill="auto"/>
          </w:tcPr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 I: ±17% wartości nominalnej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 II: ±17% wartości nominalnej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 III: ±10% wartości nominalnej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±3 µA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±3 µA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± 2 µA</w:t>
            </w:r>
          </w:p>
          <w:p w:rsidR="003B1B41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przy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37A57">
              <w:rPr>
                <w:rFonts w:ascii="Times New Roman" w:hAnsi="Times New Roman"/>
                <w:lang w:eastAsia="en-US"/>
              </w:rPr>
              <w:t>I</w:t>
            </w:r>
            <w:r w:rsidRPr="00E37A57">
              <w:rPr>
                <w:rFonts w:ascii="Times New Roman" w:hAnsi="Times New Roman"/>
                <w:vertAlign w:val="subscript"/>
                <w:lang w:eastAsia="en-US"/>
              </w:rPr>
              <w:t>wej</w:t>
            </w:r>
            <w:proofErr w:type="spellEnd"/>
            <w:r w:rsidRPr="00E37A57">
              <w:rPr>
                <w:rFonts w:ascii="Times New Roman" w:hAnsi="Times New Roman"/>
                <w:lang w:eastAsia="en-US"/>
              </w:rPr>
              <w:t>=150 µA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20E00" w:rsidRPr="001D05DB" w:rsidRDefault="00581673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1D05DB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sym w:font="Symbol" w:char="F0D6"/>
            </w:r>
          </w:p>
        </w:tc>
      </w:tr>
      <w:tr w:rsidR="003B1B41" w:rsidRPr="00E37A57" w:rsidTr="003B1B41">
        <w:trPr>
          <w:trHeight w:val="1118"/>
        </w:trPr>
        <w:tc>
          <w:tcPr>
            <w:tcW w:w="1418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Wyrazistość poza linią kierunku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3.1.3.7.4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DDM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 w:firstLine="1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Z każdej strony linii kursu: liniowy wzrost do 175 µA, potem utrzymanie 175 µA do 10°. </w:t>
            </w:r>
          </w:p>
          <w:p w:rsidR="004D7C0E" w:rsidRDefault="00420E00" w:rsidP="00B56CDD">
            <w:pPr>
              <w:suppressAutoHyphens/>
              <w:ind w:left="-108" w:right="-108" w:firstLine="1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Pomiędzy 10° a 35° min. 150 µA. </w:t>
            </w:r>
          </w:p>
          <w:p w:rsidR="00420E00" w:rsidRPr="00E37A57" w:rsidRDefault="00420E00" w:rsidP="00B56CDD">
            <w:pPr>
              <w:suppressAutoHyphens/>
              <w:ind w:left="-108" w:right="-108" w:firstLine="1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Tam, gdzie jest wymagane pokrycie poza ±35°, min. 150 µA.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±5 µA</w:t>
            </w:r>
          </w:p>
          <w:p w:rsidR="003B1B41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przy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37A57">
              <w:rPr>
                <w:rFonts w:ascii="Times New Roman" w:hAnsi="Times New Roman"/>
                <w:lang w:eastAsia="en-US"/>
              </w:rPr>
              <w:t>I</w:t>
            </w:r>
            <w:r w:rsidRPr="00E37A57">
              <w:rPr>
                <w:rFonts w:ascii="Times New Roman" w:hAnsi="Times New Roman"/>
                <w:vertAlign w:val="subscript"/>
                <w:lang w:eastAsia="en-US"/>
              </w:rPr>
              <w:t>wej</w:t>
            </w:r>
            <w:proofErr w:type="spellEnd"/>
            <w:r w:rsidRPr="00E37A57">
              <w:rPr>
                <w:rFonts w:ascii="Times New Roman" w:hAnsi="Times New Roman"/>
                <w:lang w:eastAsia="en-US"/>
              </w:rPr>
              <w:t>=150 µA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20E00" w:rsidRPr="001D05DB" w:rsidRDefault="00581673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1D05DB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sym w:font="Symbol" w:char="F0D6"/>
            </w:r>
          </w:p>
        </w:tc>
      </w:tr>
      <w:tr w:rsidR="003B1B41" w:rsidRPr="00E37A57" w:rsidTr="003B1B41">
        <w:trPr>
          <w:trHeight w:val="525"/>
        </w:trPr>
        <w:tc>
          <w:tcPr>
            <w:tcW w:w="1418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Wyrazistość dla dużych kątów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DDM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Minimum 150 µA.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±5 µA</w:t>
            </w:r>
          </w:p>
          <w:p w:rsidR="003B1B41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przy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E37A57">
              <w:rPr>
                <w:rFonts w:ascii="Times New Roman" w:hAnsi="Times New Roman"/>
                <w:lang w:eastAsia="en-US"/>
              </w:rPr>
              <w:t>I</w:t>
            </w:r>
            <w:r w:rsidRPr="00E37A57">
              <w:rPr>
                <w:rFonts w:ascii="Times New Roman" w:hAnsi="Times New Roman"/>
                <w:vertAlign w:val="subscript"/>
                <w:lang w:eastAsia="en-US"/>
              </w:rPr>
              <w:t>wej</w:t>
            </w:r>
            <w:proofErr w:type="spellEnd"/>
            <w:r w:rsidRPr="00E37A57">
              <w:rPr>
                <w:rFonts w:ascii="Times New Roman" w:hAnsi="Times New Roman"/>
                <w:lang w:eastAsia="en-US"/>
              </w:rPr>
              <w:t>=150 µA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20E00" w:rsidRPr="001D05DB" w:rsidRDefault="00581673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1D05DB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sym w:font="Symbol" w:char="F0D6"/>
            </w:r>
          </w:p>
        </w:tc>
      </w:tr>
      <w:tr w:rsidR="003B1B41" w:rsidRPr="00E37A57" w:rsidTr="003B1B41">
        <w:trPr>
          <w:trHeight w:val="878"/>
        </w:trPr>
        <w:tc>
          <w:tcPr>
            <w:tcW w:w="1418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Dokładność ustawienia osi kierunku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3.1.3.6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DDM,</w:t>
            </w:r>
          </w:p>
          <w:p w:rsidR="00420E00" w:rsidRPr="00E37A57" w:rsidRDefault="00DE691D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</w:t>
            </w:r>
            <w:r w:rsidR="00420E00" w:rsidRPr="00E37A57">
              <w:rPr>
                <w:rFonts w:ascii="Times New Roman" w:hAnsi="Times New Roman"/>
                <w:lang w:eastAsia="en-US"/>
              </w:rPr>
              <w:t>rzemieszczenie,</w:t>
            </w:r>
          </w:p>
          <w:p w:rsidR="00420E00" w:rsidRPr="00E37A57" w:rsidRDefault="00DE691D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</w:t>
            </w:r>
            <w:r w:rsidR="00420E00" w:rsidRPr="00E37A57">
              <w:rPr>
                <w:rFonts w:ascii="Times New Roman" w:hAnsi="Times New Roman"/>
                <w:lang w:eastAsia="en-US"/>
              </w:rPr>
              <w:t>ąt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Odpowiednio dla przemieszczeń w punkcie odniesienia ILS: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Kategoria I:   ±10,5 m (35 </w:t>
            </w:r>
            <w:proofErr w:type="spellStart"/>
            <w:r w:rsidRPr="00E37A57">
              <w:rPr>
                <w:rFonts w:ascii="Times New Roman" w:hAnsi="Times New Roman"/>
                <w:lang w:eastAsia="en-US"/>
              </w:rPr>
              <w:t>ft</w:t>
            </w:r>
            <w:proofErr w:type="spellEnd"/>
            <w:r w:rsidRPr="00E37A57">
              <w:rPr>
                <w:rFonts w:ascii="Times New Roman" w:hAnsi="Times New Roman"/>
                <w:lang w:eastAsia="en-US"/>
              </w:rPr>
              <w:t>)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Kategoria II:  ±7,5 m (25 </w:t>
            </w:r>
            <w:proofErr w:type="spellStart"/>
            <w:r w:rsidRPr="00E37A57">
              <w:rPr>
                <w:rFonts w:ascii="Times New Roman" w:hAnsi="Times New Roman"/>
                <w:lang w:eastAsia="en-US"/>
              </w:rPr>
              <w:t>ft</w:t>
            </w:r>
            <w:proofErr w:type="spellEnd"/>
            <w:r w:rsidRPr="00E37A57">
              <w:rPr>
                <w:rFonts w:ascii="Times New Roman" w:hAnsi="Times New Roman"/>
                <w:lang w:eastAsia="en-US"/>
              </w:rPr>
              <w:t>)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E37A57">
              <w:rPr>
                <w:rFonts w:ascii="Times New Roman" w:hAnsi="Times New Roman"/>
                <w:lang w:val="en-US" w:eastAsia="en-US"/>
              </w:rPr>
              <w:t>Kategoria</w:t>
            </w:r>
            <w:proofErr w:type="spellEnd"/>
            <w:r w:rsidRPr="00E37A57">
              <w:rPr>
                <w:rFonts w:ascii="Times New Roman" w:hAnsi="Times New Roman"/>
                <w:lang w:val="en-US" w:eastAsia="en-US"/>
              </w:rPr>
              <w:t xml:space="preserve"> III: ±3 m (10 </w:t>
            </w:r>
            <w:proofErr w:type="spellStart"/>
            <w:r w:rsidRPr="00E37A57">
              <w:rPr>
                <w:rFonts w:ascii="Times New Roman" w:hAnsi="Times New Roman"/>
                <w:lang w:val="en-US" w:eastAsia="en-US"/>
              </w:rPr>
              <w:t>ft</w:t>
            </w:r>
            <w:proofErr w:type="spellEnd"/>
            <w:r w:rsidRPr="00E37A57">
              <w:rPr>
                <w:rFonts w:ascii="Times New Roman" w:hAnsi="Times New Roman"/>
                <w:lang w:val="en-US" w:eastAsia="en-US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</w:t>
            </w:r>
            <w:r w:rsidR="004D7C0E">
              <w:rPr>
                <w:rFonts w:ascii="Times New Roman" w:hAnsi="Times New Roman"/>
                <w:lang w:eastAsia="en-US"/>
              </w:rPr>
              <w:t>.</w:t>
            </w:r>
            <w:r w:rsidRPr="00E37A57">
              <w:rPr>
                <w:rFonts w:ascii="Times New Roman" w:hAnsi="Times New Roman"/>
                <w:lang w:eastAsia="en-US"/>
              </w:rPr>
              <w:t xml:space="preserve"> I: ±2 m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 II:  ±1 m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 III: ±0,7 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20E00" w:rsidRPr="001D05DB" w:rsidRDefault="00581673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1D05DB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sym w:font="Symbol" w:char="F0D6"/>
            </w:r>
          </w:p>
        </w:tc>
      </w:tr>
      <w:tr w:rsidR="003B1B41" w:rsidRPr="00E37A57" w:rsidTr="003B1B41">
        <w:tc>
          <w:tcPr>
            <w:tcW w:w="1418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Struktura osi kierunku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3.1.3.4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Patrz, Dodatek C, Przypis do 2.1.3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DDM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Od najdalszego krańca pokrycia do punktu  A: 30 µA dla wszystkich </w:t>
            </w:r>
            <w:r w:rsidR="00DE691D">
              <w:rPr>
                <w:rFonts w:ascii="Times New Roman" w:hAnsi="Times New Roman"/>
                <w:lang w:eastAsia="en-US"/>
              </w:rPr>
              <w:t>k</w:t>
            </w:r>
            <w:r w:rsidRPr="00E37A57">
              <w:rPr>
                <w:rFonts w:ascii="Times New Roman" w:hAnsi="Times New Roman"/>
                <w:lang w:eastAsia="en-US"/>
              </w:rPr>
              <w:t>ategori</w:t>
            </w:r>
            <w:r w:rsidR="00FD228F">
              <w:rPr>
                <w:rFonts w:ascii="Times New Roman" w:hAnsi="Times New Roman"/>
                <w:lang w:eastAsia="en-US"/>
              </w:rPr>
              <w:t>i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Od punktu A do punktu B: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 I:   liniowy spadek do 15 µA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 II:  liniowy spadek do 5 µA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 III: liniowy spadek do 5 µA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Poza punktem B: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 I: 15 µA do punktu C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 II: 5 µA do punktu odniesienia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 III: 5 µA do punktu D, potem liniowy wzrost do 10 µA w punktu E.</w:t>
            </w:r>
          </w:p>
        </w:tc>
        <w:tc>
          <w:tcPr>
            <w:tcW w:w="1276" w:type="dxa"/>
            <w:shd w:val="clear" w:color="auto" w:fill="auto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Dodatek C, 2.1.5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3B1B41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Od punktu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A do B, 3 µA malejąco do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1 µA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Od punktu B do E, 1 µA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  <w:tr w:rsidR="003B1B41" w:rsidRPr="00E37A57" w:rsidTr="003B1B41">
        <w:tc>
          <w:tcPr>
            <w:tcW w:w="1418" w:type="dxa"/>
            <w:shd w:val="clear" w:color="auto" w:fill="auto"/>
          </w:tcPr>
          <w:p w:rsidR="00420E00" w:rsidRPr="00E37A57" w:rsidRDefault="00420E00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Zasięg użyteczny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Natężenie pola</w:t>
            </w:r>
          </w:p>
        </w:tc>
        <w:tc>
          <w:tcPr>
            <w:tcW w:w="1134" w:type="dxa"/>
            <w:shd w:val="clear" w:color="auto" w:fill="auto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3.1.3.3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Patrz Dodatek C, Rysunki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C-7 i C-8</w:t>
            </w:r>
          </w:p>
        </w:tc>
        <w:tc>
          <w:tcPr>
            <w:tcW w:w="1417" w:type="dxa"/>
            <w:shd w:val="clear" w:color="auto" w:fill="auto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DDM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Natężenie pola</w:t>
            </w:r>
          </w:p>
        </w:tc>
        <w:tc>
          <w:tcPr>
            <w:tcW w:w="3686" w:type="dxa"/>
            <w:shd w:val="clear" w:color="auto" w:fill="auto"/>
          </w:tcPr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Od anteny radiolatarni do odległoś</w:t>
            </w:r>
            <w:r w:rsidR="00FD228F">
              <w:rPr>
                <w:rFonts w:ascii="Times New Roman" w:hAnsi="Times New Roman"/>
                <w:lang w:eastAsia="en-US"/>
              </w:rPr>
              <w:t>ci</w:t>
            </w:r>
            <w:r w:rsidRPr="00E37A57">
              <w:rPr>
                <w:rFonts w:ascii="Times New Roman" w:hAnsi="Times New Roman"/>
                <w:lang w:eastAsia="en-US"/>
              </w:rPr>
              <w:t>: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- 25NM lub 18 NM w zakresie ±10° od linii kursu,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- 17 NM lub 10 NM pomiędzy 10° a 35° po obu stronach od linii kursu,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- 10 NM poza zakresem ±35°, jeżeli zapewnione jest pokrycie.</w:t>
            </w:r>
          </w:p>
          <w:p w:rsidR="00581673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&gt;40 µV/m (-114 </w:t>
            </w:r>
            <w:proofErr w:type="spellStart"/>
            <w:r w:rsidRPr="00E37A57">
              <w:rPr>
                <w:rFonts w:ascii="Times New Roman" w:hAnsi="Times New Roman"/>
                <w:lang w:eastAsia="en-US"/>
              </w:rPr>
              <w:t>dBW</w:t>
            </w:r>
            <w:proofErr w:type="spellEnd"/>
            <w:r w:rsidRPr="00E37A57">
              <w:rPr>
                <w:rFonts w:ascii="Times New Roman" w:hAnsi="Times New Roman"/>
                <w:lang w:eastAsia="en-US"/>
              </w:rPr>
              <w:t>/m</w:t>
            </w:r>
            <w:r w:rsidRPr="00E37A57">
              <w:rPr>
                <w:rFonts w:ascii="Times New Roman" w:hAnsi="Times New Roman"/>
                <w:vertAlign w:val="superscript"/>
                <w:lang w:eastAsia="en-US"/>
              </w:rPr>
              <w:t>2</w:t>
            </w:r>
            <w:r w:rsidRPr="00E37A57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±3 </w:t>
            </w:r>
            <w:proofErr w:type="spellStart"/>
            <w:r w:rsidRPr="00E37A57">
              <w:rPr>
                <w:rFonts w:ascii="Times New Roman" w:hAnsi="Times New Roman"/>
                <w:lang w:eastAsia="en-US"/>
              </w:rPr>
              <w:t>dB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  <w:tr w:rsidR="003B1B41" w:rsidRPr="00E37A57" w:rsidTr="003B1B41">
        <w:trPr>
          <w:trHeight w:val="1115"/>
        </w:trPr>
        <w:tc>
          <w:tcPr>
            <w:tcW w:w="1418" w:type="dxa"/>
            <w:shd w:val="clear" w:color="auto" w:fill="auto"/>
          </w:tcPr>
          <w:p w:rsidR="00420E00" w:rsidRPr="00E37A57" w:rsidRDefault="00420E00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Limity alarmowe monitorów: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 ustawienie osi kierunku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 czułość przemieszczania</w:t>
            </w:r>
          </w:p>
        </w:tc>
        <w:tc>
          <w:tcPr>
            <w:tcW w:w="1134" w:type="dxa"/>
            <w:shd w:val="clear" w:color="auto" w:fill="auto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3.1.3.1</w:t>
            </w:r>
          </w:p>
        </w:tc>
        <w:tc>
          <w:tcPr>
            <w:tcW w:w="1417" w:type="dxa"/>
            <w:shd w:val="clear" w:color="auto" w:fill="auto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DDM, </w:t>
            </w:r>
            <w:r w:rsidR="00DE691D">
              <w:rPr>
                <w:rFonts w:ascii="Times New Roman" w:hAnsi="Times New Roman"/>
                <w:lang w:eastAsia="en-US"/>
              </w:rPr>
              <w:t>p</w:t>
            </w:r>
            <w:r w:rsidRPr="00E37A57">
              <w:rPr>
                <w:rFonts w:ascii="Times New Roman" w:hAnsi="Times New Roman"/>
                <w:lang w:eastAsia="en-US"/>
              </w:rPr>
              <w:t>rzemieszczenie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DDM, </w:t>
            </w:r>
            <w:r w:rsidR="00DE691D">
              <w:rPr>
                <w:rFonts w:ascii="Times New Roman" w:hAnsi="Times New Roman"/>
                <w:lang w:eastAsia="en-US"/>
              </w:rPr>
              <w:t>p</w:t>
            </w:r>
            <w:r w:rsidRPr="00E37A57">
              <w:rPr>
                <w:rFonts w:ascii="Times New Roman" w:hAnsi="Times New Roman"/>
                <w:lang w:eastAsia="en-US"/>
              </w:rPr>
              <w:t>rzemieszczenie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right="-108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Monitor musi uruchomić alarm przy przesunięciu linii kursu od  osi  drogi startowej przy wartości równej lub większej niż następujące odległości w punkcie odniesienia </w:t>
            </w:r>
            <w:proofErr w:type="spellStart"/>
            <w:r w:rsidRPr="00E37A57">
              <w:rPr>
                <w:rFonts w:ascii="Times New Roman" w:hAnsi="Times New Roman"/>
                <w:lang w:eastAsia="en-US"/>
              </w:rPr>
              <w:t>ILS:Kategoria</w:t>
            </w:r>
            <w:proofErr w:type="spellEnd"/>
            <w:r w:rsidRPr="00E37A57">
              <w:rPr>
                <w:rFonts w:ascii="Times New Roman" w:hAnsi="Times New Roman"/>
                <w:lang w:eastAsia="en-US"/>
              </w:rPr>
              <w:t xml:space="preserve"> I:   10,5 m (35 </w:t>
            </w:r>
            <w:proofErr w:type="spellStart"/>
            <w:r w:rsidRPr="00E37A57">
              <w:rPr>
                <w:rFonts w:ascii="Times New Roman" w:hAnsi="Times New Roman"/>
                <w:lang w:eastAsia="en-US"/>
              </w:rPr>
              <w:t>ft</w:t>
            </w:r>
            <w:proofErr w:type="spellEnd"/>
            <w:r w:rsidRPr="00E37A57">
              <w:rPr>
                <w:rFonts w:ascii="Times New Roman" w:hAnsi="Times New Roman"/>
                <w:lang w:eastAsia="en-US"/>
              </w:rPr>
              <w:t>)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Kategoria II:  7,5 m (25 </w:t>
            </w:r>
            <w:proofErr w:type="spellStart"/>
            <w:r w:rsidRPr="00E37A57">
              <w:rPr>
                <w:rFonts w:ascii="Times New Roman" w:hAnsi="Times New Roman"/>
                <w:lang w:eastAsia="en-US"/>
              </w:rPr>
              <w:t>ft</w:t>
            </w:r>
            <w:proofErr w:type="spellEnd"/>
            <w:r w:rsidRPr="00E37A57">
              <w:rPr>
                <w:rFonts w:ascii="Times New Roman" w:hAnsi="Times New Roman"/>
                <w:lang w:eastAsia="en-US"/>
              </w:rPr>
              <w:t>)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Kategoria III: 6 m (20 </w:t>
            </w:r>
            <w:proofErr w:type="spellStart"/>
            <w:r w:rsidRPr="00E37A57">
              <w:rPr>
                <w:rFonts w:ascii="Times New Roman" w:hAnsi="Times New Roman"/>
                <w:lang w:eastAsia="en-US"/>
              </w:rPr>
              <w:t>ft</w:t>
            </w:r>
            <w:proofErr w:type="spellEnd"/>
            <w:r w:rsidRPr="00E37A57">
              <w:rPr>
                <w:rFonts w:ascii="Times New Roman" w:hAnsi="Times New Roman"/>
                <w:lang w:eastAsia="en-US"/>
              </w:rPr>
              <w:t>)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Monitor musi uruchomić alarm przy zmianie czułości przemieszczania o wartość różniącą się od wartości nominalnej o więcej niż: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 I:   17%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 II:  17%</w:t>
            </w:r>
          </w:p>
          <w:p w:rsidR="00420E00" w:rsidRPr="00E37A57" w:rsidRDefault="00420E00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 III: 1</w:t>
            </w:r>
            <w:r w:rsidR="00581673">
              <w:rPr>
                <w:rFonts w:ascii="Times New Roman" w:hAnsi="Times New Roman"/>
                <w:lang w:eastAsia="en-US"/>
              </w:rPr>
              <w:t>0</w:t>
            </w:r>
            <w:r w:rsidRPr="00E37A57">
              <w:rPr>
                <w:rFonts w:ascii="Times New Roman" w:hAnsi="Times New Roman"/>
                <w:lang w:eastAsia="en-US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2 m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1 m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0,7 m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±4%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±4%</w:t>
            </w:r>
          </w:p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±2%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20E00" w:rsidRPr="00E37A57" w:rsidRDefault="00420E00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</w:tbl>
    <w:p w:rsidR="00873D0B" w:rsidRDefault="00873D0B" w:rsidP="00E14DB1">
      <w:pPr>
        <w:tabs>
          <w:tab w:val="left" w:pos="3555"/>
          <w:tab w:val="center" w:pos="4535"/>
        </w:tabs>
        <w:suppressAutoHyphens/>
        <w:spacing w:line="276" w:lineRule="auto"/>
        <w:ind w:left="720" w:hanging="720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lastRenderedPageBreak/>
        <w:t xml:space="preserve">* </w:t>
      </w:r>
      <w:r w:rsidRPr="00A44F4F">
        <w:rPr>
          <w:rFonts w:ascii="Times New Roman" w:hAnsi="Times New Roman"/>
          <w:b/>
          <w:szCs w:val="18"/>
        </w:rPr>
        <w:t>W</w:t>
      </w:r>
      <w:r>
        <w:rPr>
          <w:rFonts w:ascii="Times New Roman" w:hAnsi="Times New Roman"/>
          <w:szCs w:val="18"/>
        </w:rPr>
        <w:t xml:space="preserve"> – kontrola wdrożeniowa, </w:t>
      </w:r>
      <w:r w:rsidRPr="00A44F4F">
        <w:rPr>
          <w:rFonts w:ascii="Times New Roman" w:hAnsi="Times New Roman"/>
          <w:b/>
          <w:szCs w:val="18"/>
        </w:rPr>
        <w:t>O</w:t>
      </w:r>
      <w:r>
        <w:rPr>
          <w:rFonts w:ascii="Times New Roman" w:hAnsi="Times New Roman"/>
          <w:szCs w:val="18"/>
        </w:rPr>
        <w:t xml:space="preserve"> – kontrola okresowa</w:t>
      </w:r>
    </w:p>
    <w:p w:rsidR="00873D0B" w:rsidRDefault="00873D0B" w:rsidP="00E14DB1">
      <w:pPr>
        <w:tabs>
          <w:tab w:val="left" w:pos="3555"/>
          <w:tab w:val="center" w:pos="4535"/>
        </w:tabs>
        <w:suppressAutoHyphens/>
        <w:spacing w:line="276" w:lineRule="auto"/>
        <w:ind w:left="720" w:hanging="720"/>
        <w:rPr>
          <w:rFonts w:ascii="Times New Roman" w:hAnsi="Times New Roman"/>
          <w:b/>
        </w:rPr>
      </w:pPr>
    </w:p>
    <w:p w:rsidR="008B6062" w:rsidRDefault="008B6062" w:rsidP="000F7FC1">
      <w:pPr>
        <w:tabs>
          <w:tab w:val="left" w:pos="3555"/>
          <w:tab w:val="center" w:pos="4535"/>
        </w:tabs>
        <w:suppressAutoHyphens/>
        <w:spacing w:line="276" w:lineRule="auto"/>
        <w:ind w:left="720" w:hanging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Tabela T.3.6</w:t>
      </w:r>
      <w:r w:rsidRPr="0050395D">
        <w:rPr>
          <w:rFonts w:ascii="Times New Roman" w:hAnsi="Times New Roman"/>
          <w:b/>
        </w:rPr>
        <w:t xml:space="preserve">. </w:t>
      </w:r>
      <w:r w:rsidR="00CA62AB">
        <w:rPr>
          <w:rFonts w:ascii="Times New Roman" w:hAnsi="Times New Roman"/>
          <w:b/>
        </w:rPr>
        <w:t>Dopuszczalne w</w:t>
      </w:r>
      <w:r w:rsidRPr="0050395D">
        <w:rPr>
          <w:rFonts w:ascii="Times New Roman" w:hAnsi="Times New Roman"/>
          <w:b/>
        </w:rPr>
        <w:t xml:space="preserve">artości </w:t>
      </w:r>
      <w:r w:rsidR="00CA62AB">
        <w:rPr>
          <w:rFonts w:ascii="Times New Roman" w:hAnsi="Times New Roman"/>
          <w:b/>
        </w:rPr>
        <w:t xml:space="preserve">tolerancji </w:t>
      </w:r>
      <w:r w:rsidRPr="0050395D">
        <w:rPr>
          <w:rFonts w:ascii="Times New Roman" w:hAnsi="Times New Roman"/>
          <w:b/>
        </w:rPr>
        <w:t xml:space="preserve">parametrów </w:t>
      </w:r>
      <w:r w:rsidR="00DE691D" w:rsidRPr="0050395D">
        <w:rPr>
          <w:rFonts w:ascii="Times New Roman" w:hAnsi="Times New Roman"/>
          <w:b/>
        </w:rPr>
        <w:t xml:space="preserve">ILS GP </w:t>
      </w:r>
      <w:r w:rsidRPr="0050395D">
        <w:rPr>
          <w:rFonts w:ascii="Times New Roman" w:hAnsi="Times New Roman"/>
          <w:b/>
        </w:rPr>
        <w:t>sprawdzanych</w:t>
      </w:r>
      <w:r w:rsidR="00E2400F">
        <w:rPr>
          <w:rFonts w:ascii="Times New Roman" w:hAnsi="Times New Roman"/>
          <w:b/>
        </w:rPr>
        <w:t xml:space="preserve"> </w:t>
      </w:r>
      <w:r w:rsidRPr="0050395D">
        <w:rPr>
          <w:rFonts w:ascii="Times New Roman" w:hAnsi="Times New Roman"/>
          <w:b/>
        </w:rPr>
        <w:t>podczas kontroli z powietrza</w:t>
      </w:r>
    </w:p>
    <w:p w:rsidR="000F7FC1" w:rsidRPr="000F7FC1" w:rsidRDefault="000F7FC1" w:rsidP="000F7FC1">
      <w:pPr>
        <w:tabs>
          <w:tab w:val="left" w:pos="3555"/>
          <w:tab w:val="center" w:pos="4535"/>
        </w:tabs>
        <w:suppressAutoHyphens/>
        <w:spacing w:line="276" w:lineRule="auto"/>
        <w:ind w:left="720" w:hanging="720"/>
        <w:jc w:val="center"/>
        <w:rPr>
          <w:rFonts w:ascii="Times New Roman" w:hAnsi="Times New Roman"/>
          <w:b/>
          <w:sz w:val="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993"/>
        <w:gridCol w:w="1275"/>
        <w:gridCol w:w="284"/>
        <w:gridCol w:w="1984"/>
        <w:gridCol w:w="1843"/>
        <w:gridCol w:w="425"/>
        <w:gridCol w:w="426"/>
      </w:tblGrid>
      <w:tr w:rsidR="008B6062" w:rsidRPr="00E37A57" w:rsidTr="000F7FC1">
        <w:trPr>
          <w:trHeight w:val="408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Parametr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72149" w:rsidRDefault="009F56ED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 xml:space="preserve">Odniesienie do </w:t>
            </w:r>
            <w:r w:rsidR="00BB291D">
              <w:rPr>
                <w:rFonts w:ascii="Times New Roman" w:hAnsi="Times New Roman"/>
                <w:b/>
                <w:lang w:eastAsia="en-US"/>
              </w:rPr>
              <w:t>pkt</w:t>
            </w:r>
          </w:p>
          <w:p w:rsidR="008B6062" w:rsidRPr="00E37A57" w:rsidRDefault="009F56ED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Za</w:t>
            </w:r>
            <w:r w:rsidR="00BB291D">
              <w:rPr>
                <w:rFonts w:ascii="Times New Roman" w:hAnsi="Times New Roman"/>
                <w:b/>
                <w:lang w:eastAsia="en-US"/>
              </w:rPr>
              <w:t>łącznika</w:t>
            </w:r>
            <w:r w:rsidRPr="00E37A57">
              <w:rPr>
                <w:rFonts w:ascii="Times New Roman" w:hAnsi="Times New Roman"/>
                <w:b/>
                <w:lang w:eastAsia="en-US"/>
              </w:rPr>
              <w:t xml:space="preserve"> 10 Tom I do Konwencji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Mierzona wielkość lub wymagana cecha</w:t>
            </w:r>
          </w:p>
        </w:tc>
        <w:tc>
          <w:tcPr>
            <w:tcW w:w="3543" w:type="dxa"/>
            <w:gridSpan w:val="3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Dopuszczalne tolerancje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Dokładność pomiaru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lang w:eastAsia="en-US"/>
              </w:rPr>
              <w:t>Rodzaj</w:t>
            </w:r>
          </w:p>
          <w:p w:rsidR="008B6062" w:rsidRPr="00E37A57" w:rsidRDefault="00AF0CDC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k</w:t>
            </w:r>
            <w:r w:rsidR="008B6062" w:rsidRPr="00E37A57">
              <w:rPr>
                <w:rFonts w:ascii="Times New Roman" w:hAnsi="Times New Roman"/>
                <w:b/>
                <w:bCs/>
                <w:lang w:eastAsia="en-US"/>
              </w:rPr>
              <w:t>ontroli</w:t>
            </w:r>
            <w:r w:rsidR="00A21D73">
              <w:rPr>
                <w:rFonts w:ascii="Times New Roman" w:hAnsi="Times New Roman"/>
                <w:b/>
                <w:bCs/>
                <w:lang w:eastAsia="en-US"/>
              </w:rPr>
              <w:t>*</w:t>
            </w:r>
          </w:p>
        </w:tc>
      </w:tr>
      <w:tr w:rsidR="005E283D" w:rsidRPr="00E37A57" w:rsidTr="000F7FC1">
        <w:trPr>
          <w:cantSplit/>
          <w:trHeight w:val="489"/>
        </w:trPr>
        <w:tc>
          <w:tcPr>
            <w:tcW w:w="1418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543" w:type="dxa"/>
            <w:gridSpan w:val="3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W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O</w:t>
            </w:r>
          </w:p>
        </w:tc>
      </w:tr>
      <w:tr w:rsidR="005E283D" w:rsidRPr="00E37A57" w:rsidTr="000F7FC1">
        <w:trPr>
          <w:trHeight w:val="689"/>
        </w:trPr>
        <w:tc>
          <w:tcPr>
            <w:tcW w:w="1418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Kąt</w:t>
            </w:r>
            <w:r w:rsidR="00A95CAE" w:rsidRPr="00E37A57">
              <w:rPr>
                <w:rFonts w:ascii="Times New Roman" w:hAnsi="Times New Roman"/>
                <w:lang w:eastAsia="en-US"/>
              </w:rPr>
              <w:t>: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</w:t>
            </w:r>
            <w:r w:rsidR="000339E6" w:rsidRPr="00E37A57">
              <w:rPr>
                <w:rFonts w:ascii="Times New Roman" w:hAnsi="Times New Roman"/>
                <w:lang w:eastAsia="en-US"/>
              </w:rPr>
              <w:t xml:space="preserve"> u</w:t>
            </w:r>
            <w:r w:rsidRPr="00E37A57">
              <w:rPr>
                <w:rFonts w:ascii="Times New Roman" w:hAnsi="Times New Roman"/>
                <w:lang w:eastAsia="en-US"/>
              </w:rPr>
              <w:t>stawienie</w:t>
            </w:r>
          </w:p>
        </w:tc>
        <w:tc>
          <w:tcPr>
            <w:tcW w:w="1134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3.1.5.1.2.2</w:t>
            </w:r>
          </w:p>
        </w:tc>
        <w:tc>
          <w:tcPr>
            <w:tcW w:w="993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DDM, </w:t>
            </w:r>
            <w:r w:rsidR="00DE691D">
              <w:rPr>
                <w:rFonts w:ascii="Times New Roman" w:hAnsi="Times New Roman"/>
                <w:lang w:eastAsia="en-US"/>
              </w:rPr>
              <w:t>k</w:t>
            </w:r>
            <w:r w:rsidRPr="00E37A57">
              <w:rPr>
                <w:rFonts w:ascii="Times New Roman" w:hAnsi="Times New Roman"/>
                <w:lang w:eastAsia="en-US"/>
              </w:rPr>
              <w:t>ąt</w:t>
            </w:r>
          </w:p>
          <w:p w:rsidR="008B6062" w:rsidRPr="00E37A57" w:rsidRDefault="008B6062" w:rsidP="00B56CDD">
            <w:pPr>
              <w:suppressAutoHyphens/>
              <w:ind w:right="-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3" w:type="dxa"/>
            <w:gridSpan w:val="3"/>
            <w:shd w:val="clear" w:color="auto" w:fill="auto"/>
          </w:tcPr>
          <w:p w:rsidR="008B6062" w:rsidRPr="00E37A57" w:rsidRDefault="00D9370D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I:   ±7,5% kąta nominalnego</w:t>
            </w:r>
            <w:r w:rsidR="00EF0089" w:rsidRPr="00E37A57">
              <w:rPr>
                <w:rFonts w:ascii="Times New Roman" w:hAnsi="Times New Roman"/>
                <w:lang w:eastAsia="en-US"/>
              </w:rPr>
              <w:t xml:space="preserve"> (</w:t>
            </w:r>
            <w:r w:rsidR="00EF0089" w:rsidRPr="00E37A57">
              <w:rPr>
                <w:rFonts w:ascii="Times New Roman" w:hAnsi="Times New Roman" w:hint="eastAsia"/>
                <w:lang w:eastAsia="en-US"/>
              </w:rPr>
              <w:t>Θ</w:t>
            </w:r>
            <w:r w:rsidR="00EF0089" w:rsidRPr="00E37A57">
              <w:rPr>
                <w:rFonts w:ascii="Times New Roman" w:hAnsi="Times New Roman"/>
                <w:lang w:eastAsia="en-US"/>
              </w:rPr>
              <w:t>)</w:t>
            </w:r>
          </w:p>
          <w:p w:rsidR="008B6062" w:rsidRPr="00E37A57" w:rsidRDefault="00D9370D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II:  ±7,5% </w:t>
            </w:r>
            <w:r w:rsidR="00EF0089" w:rsidRPr="00E37A57">
              <w:rPr>
                <w:rFonts w:ascii="Times New Roman" w:hAnsi="Times New Roman" w:hint="eastAsia"/>
                <w:lang w:eastAsia="en-US"/>
              </w:rPr>
              <w:t>Θ</w:t>
            </w:r>
          </w:p>
          <w:p w:rsidR="008B6062" w:rsidRPr="00E37A57" w:rsidRDefault="00D9370D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III: ±4% </w:t>
            </w:r>
            <w:r w:rsidR="00EF0089" w:rsidRPr="00E37A57">
              <w:rPr>
                <w:rFonts w:ascii="Times New Roman" w:hAnsi="Times New Roman" w:hint="eastAsia"/>
                <w:lang w:eastAsia="en-US"/>
              </w:rPr>
              <w:t>Θ</w:t>
            </w:r>
          </w:p>
        </w:tc>
        <w:tc>
          <w:tcPr>
            <w:tcW w:w="1843" w:type="dxa"/>
            <w:shd w:val="clear" w:color="auto" w:fill="auto"/>
          </w:tcPr>
          <w:p w:rsidR="008B6062" w:rsidRPr="00E37A57" w:rsidRDefault="00D9370D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I: 0,75%</w:t>
            </w:r>
            <w:r w:rsidR="00EF0089" w:rsidRPr="00E37A57">
              <w:rPr>
                <w:rFonts w:ascii="Times New Roman" w:hAnsi="Times New Roman" w:hint="eastAsia"/>
                <w:lang w:eastAsia="en-US"/>
              </w:rPr>
              <w:t>Θ</w:t>
            </w:r>
          </w:p>
          <w:p w:rsidR="008B6062" w:rsidRPr="00E37A57" w:rsidRDefault="00D9370D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II: 0,75%</w:t>
            </w:r>
            <w:r w:rsidR="00EF0089" w:rsidRPr="00E37A57">
              <w:rPr>
                <w:rFonts w:ascii="Times New Roman" w:hAnsi="Times New Roman" w:hint="eastAsia"/>
                <w:lang w:eastAsia="en-US"/>
              </w:rPr>
              <w:t>Θ</w:t>
            </w:r>
          </w:p>
          <w:p w:rsidR="008B6062" w:rsidRPr="00E37A57" w:rsidRDefault="00D9370D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III: 0,3%</w:t>
            </w:r>
            <w:r w:rsidR="00EF0089" w:rsidRPr="00E37A57">
              <w:rPr>
                <w:rFonts w:ascii="Times New Roman" w:hAnsi="Times New Roman" w:hint="eastAsia"/>
                <w:lang w:eastAsia="en-US"/>
              </w:rPr>
              <w:t>Θ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6062" w:rsidRPr="005E283D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B6062" w:rsidRPr="005E283D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  <w:tr w:rsidR="005E283D" w:rsidRPr="00E37A57" w:rsidTr="000F7FC1">
        <w:trPr>
          <w:trHeight w:val="586"/>
        </w:trPr>
        <w:tc>
          <w:tcPr>
            <w:tcW w:w="1418" w:type="dxa"/>
            <w:shd w:val="clear" w:color="auto" w:fill="auto"/>
            <w:vAlign w:val="center"/>
          </w:tcPr>
          <w:p w:rsidR="000C6368" w:rsidRPr="00E37A57" w:rsidRDefault="000C6368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 wysokość nad punktem</w:t>
            </w:r>
          </w:p>
          <w:p w:rsidR="000C6368" w:rsidRPr="00E37A57" w:rsidRDefault="000C6368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odniesienia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6368" w:rsidRPr="00E37A57" w:rsidRDefault="000C6368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3.1.5.1.5</w:t>
            </w:r>
          </w:p>
          <w:p w:rsidR="000C6368" w:rsidRPr="00E37A57" w:rsidRDefault="000C6368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3.1.5.1.6</w:t>
            </w:r>
          </w:p>
          <w:p w:rsidR="000C6368" w:rsidRPr="00E37A57" w:rsidRDefault="000C6368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3.1.5.1.4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C6368" w:rsidRPr="00E37A57" w:rsidRDefault="000C6368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Wysokość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0C6368" w:rsidRPr="00E37A57" w:rsidRDefault="000C6368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 I</w:t>
            </w:r>
            <w:r>
              <w:rPr>
                <w:rFonts w:ascii="Times New Roman" w:hAnsi="Times New Roman"/>
                <w:lang w:eastAsia="en-US"/>
              </w:rPr>
              <w:t>,II i III</w:t>
            </w:r>
            <w:r w:rsidRPr="00E37A57">
              <w:rPr>
                <w:rFonts w:ascii="Times New Roman" w:hAnsi="Times New Roman"/>
                <w:lang w:eastAsia="en-US"/>
              </w:rPr>
              <w:t xml:space="preserve">: 15 m (50 </w:t>
            </w:r>
            <w:proofErr w:type="spellStart"/>
            <w:r w:rsidRPr="00E37A57">
              <w:rPr>
                <w:rFonts w:ascii="Times New Roman" w:hAnsi="Times New Roman"/>
                <w:lang w:eastAsia="en-US"/>
              </w:rPr>
              <w:t>ft</w:t>
            </w:r>
            <w:proofErr w:type="spellEnd"/>
            <w:r w:rsidRPr="00E37A57">
              <w:rPr>
                <w:rFonts w:ascii="Times New Roman" w:hAnsi="Times New Roman"/>
                <w:lang w:eastAsia="en-US"/>
              </w:rPr>
              <w:t xml:space="preserve">)+3 m (10 </w:t>
            </w:r>
            <w:proofErr w:type="spellStart"/>
            <w:r w:rsidRPr="00E37A57">
              <w:rPr>
                <w:rFonts w:ascii="Times New Roman" w:hAnsi="Times New Roman"/>
                <w:lang w:eastAsia="en-US"/>
              </w:rPr>
              <w:t>ft</w:t>
            </w:r>
            <w:proofErr w:type="spellEnd"/>
            <w:r w:rsidRPr="00E37A57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6368" w:rsidRPr="00E37A57" w:rsidRDefault="000C6368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0,6 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C6368" w:rsidRPr="00E37A57" w:rsidRDefault="000C6368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0C6368" w:rsidRPr="00E37A57" w:rsidRDefault="000C6368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C6368" w:rsidRPr="00E37A57" w:rsidRDefault="000C6368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0C6368" w:rsidRPr="00E37A57" w:rsidRDefault="000C6368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-</w:t>
            </w:r>
          </w:p>
        </w:tc>
      </w:tr>
      <w:tr w:rsidR="005E283D" w:rsidRPr="00E37A57" w:rsidTr="000F7FC1">
        <w:trPr>
          <w:trHeight w:val="468"/>
        </w:trPr>
        <w:tc>
          <w:tcPr>
            <w:tcW w:w="1418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Czułość </w:t>
            </w:r>
            <w:proofErr w:type="spellStart"/>
            <w:r w:rsidRPr="00E37A57">
              <w:rPr>
                <w:rFonts w:ascii="Times New Roman" w:hAnsi="Times New Roman"/>
                <w:lang w:eastAsia="en-US"/>
              </w:rPr>
              <w:t>przemieszczania</w:t>
            </w:r>
            <w:r w:rsidR="00A95CAE" w:rsidRPr="00E37A57">
              <w:rPr>
                <w:rFonts w:ascii="Times New Roman" w:hAnsi="Times New Roman"/>
                <w:lang w:eastAsia="en-US"/>
              </w:rPr>
              <w:t>:</w:t>
            </w:r>
            <w:r w:rsidR="000339E6" w:rsidRPr="00E37A57">
              <w:rPr>
                <w:rFonts w:ascii="Times New Roman" w:hAnsi="Times New Roman"/>
                <w:lang w:eastAsia="en-US"/>
              </w:rPr>
              <w:t>w</w:t>
            </w:r>
            <w:r w:rsidRPr="00E37A57">
              <w:rPr>
                <w:rFonts w:ascii="Times New Roman" w:hAnsi="Times New Roman"/>
                <w:lang w:eastAsia="en-US"/>
              </w:rPr>
              <w:t>artość</w:t>
            </w:r>
            <w:proofErr w:type="spellEnd"/>
            <w:r w:rsidR="007E6076" w:rsidRPr="00E37A57">
              <w:rPr>
                <w:rFonts w:ascii="Times New Roman" w:hAnsi="Times New Roman"/>
                <w:lang w:eastAsia="en-US"/>
              </w:rPr>
              <w:t xml:space="preserve">, </w:t>
            </w:r>
            <w:r w:rsidR="000339E6" w:rsidRPr="00E37A57">
              <w:rPr>
                <w:rFonts w:ascii="Times New Roman" w:hAnsi="Times New Roman"/>
                <w:lang w:eastAsia="en-US"/>
              </w:rPr>
              <w:t>s</w:t>
            </w:r>
            <w:r w:rsidRPr="00E37A57">
              <w:rPr>
                <w:rFonts w:ascii="Times New Roman" w:hAnsi="Times New Roman"/>
                <w:lang w:eastAsia="en-US"/>
              </w:rPr>
              <w:t>ymetria</w:t>
            </w:r>
          </w:p>
        </w:tc>
        <w:tc>
          <w:tcPr>
            <w:tcW w:w="1134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3.1.5.6</w:t>
            </w:r>
          </w:p>
        </w:tc>
        <w:tc>
          <w:tcPr>
            <w:tcW w:w="993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DDM, </w:t>
            </w:r>
            <w:r w:rsidR="00DE691D">
              <w:rPr>
                <w:rFonts w:ascii="Times New Roman" w:hAnsi="Times New Roman"/>
                <w:lang w:eastAsia="en-US"/>
              </w:rPr>
              <w:t>k</w:t>
            </w:r>
            <w:r w:rsidRPr="00E37A57">
              <w:rPr>
                <w:rFonts w:ascii="Times New Roman" w:hAnsi="Times New Roman"/>
                <w:lang w:eastAsia="en-US"/>
              </w:rPr>
              <w:t>ąt</w:t>
            </w:r>
          </w:p>
        </w:tc>
        <w:tc>
          <w:tcPr>
            <w:tcW w:w="155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8B6062" w:rsidRPr="00E37A57" w:rsidRDefault="00D9370D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I:   ±25% </w:t>
            </w:r>
          </w:p>
          <w:p w:rsidR="008B6062" w:rsidRPr="00E37A57" w:rsidRDefault="00D9370D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II:  ±20% </w:t>
            </w:r>
          </w:p>
          <w:p w:rsidR="008B6062" w:rsidRPr="00E37A57" w:rsidRDefault="00D9370D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III: ±15% 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wartości nominalnej czułości przemieszczania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6062" w:rsidRPr="00E37A57" w:rsidRDefault="00D9370D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I: 2,5%</w:t>
            </w:r>
          </w:p>
          <w:p w:rsidR="008B6062" w:rsidRPr="00E37A57" w:rsidRDefault="00D9370D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II: 2%</w:t>
            </w:r>
          </w:p>
          <w:p w:rsidR="008B6062" w:rsidRPr="00E37A57" w:rsidRDefault="00D9370D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III: 1,5%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  <w:tr w:rsidR="005E283D" w:rsidRPr="00E37A57" w:rsidTr="000F7FC1">
        <w:trPr>
          <w:trHeight w:val="1531"/>
        </w:trPr>
        <w:tc>
          <w:tcPr>
            <w:tcW w:w="1418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Wyrazistość</w:t>
            </w:r>
            <w:r w:rsidR="00A95CAE" w:rsidRPr="00E37A57">
              <w:rPr>
                <w:rFonts w:ascii="Times New Roman" w:hAnsi="Times New Roman"/>
                <w:lang w:eastAsia="en-US"/>
              </w:rPr>
              <w:t>: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</w:t>
            </w:r>
            <w:r w:rsidR="000339E6" w:rsidRPr="00E37A57">
              <w:rPr>
                <w:rFonts w:ascii="Times New Roman" w:hAnsi="Times New Roman"/>
                <w:lang w:eastAsia="en-US"/>
              </w:rPr>
              <w:t xml:space="preserve"> p</w:t>
            </w:r>
            <w:r w:rsidRPr="00E37A57">
              <w:rPr>
                <w:rFonts w:ascii="Times New Roman" w:hAnsi="Times New Roman"/>
                <w:lang w:eastAsia="en-US"/>
              </w:rPr>
              <w:t>od ścieżką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sz w:val="14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</w:t>
            </w:r>
            <w:r w:rsidR="000339E6" w:rsidRPr="00E37A57">
              <w:rPr>
                <w:rFonts w:ascii="Times New Roman" w:hAnsi="Times New Roman"/>
                <w:lang w:eastAsia="en-US"/>
              </w:rPr>
              <w:t xml:space="preserve"> n</w:t>
            </w:r>
            <w:r w:rsidRPr="00E37A57">
              <w:rPr>
                <w:rFonts w:ascii="Times New Roman" w:hAnsi="Times New Roman"/>
                <w:lang w:eastAsia="en-US"/>
              </w:rPr>
              <w:t>ad ścieżką</w:t>
            </w:r>
          </w:p>
        </w:tc>
        <w:tc>
          <w:tcPr>
            <w:tcW w:w="1134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3.1.5.6.5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sz w:val="14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3.1.5.3.1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DDM, </w:t>
            </w:r>
            <w:r w:rsidR="00DE691D">
              <w:rPr>
                <w:rFonts w:ascii="Times New Roman" w:hAnsi="Times New Roman"/>
                <w:lang w:eastAsia="en-US"/>
              </w:rPr>
              <w:t>k</w:t>
            </w:r>
            <w:r w:rsidRPr="00E37A57">
              <w:rPr>
                <w:rFonts w:ascii="Times New Roman" w:hAnsi="Times New Roman"/>
                <w:lang w:eastAsia="en-US"/>
              </w:rPr>
              <w:t>ąt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3" w:type="dxa"/>
            <w:gridSpan w:val="3"/>
            <w:shd w:val="clear" w:color="auto" w:fill="auto"/>
          </w:tcPr>
          <w:p w:rsidR="00993DA6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Na kącie pomiędzy płaszczyzną horyzontu, a 0,3</w:t>
            </w:r>
            <w:r w:rsidR="00993DA6" w:rsidRPr="00E37A57">
              <w:rPr>
                <w:rFonts w:ascii="Times New Roman" w:hAnsi="Times New Roman" w:hint="eastAsia"/>
                <w:lang w:eastAsia="en-US"/>
              </w:rPr>
              <w:t xml:space="preserve"> Θ</w:t>
            </w:r>
            <w:r w:rsidR="00993DA6" w:rsidRPr="00E37A57">
              <w:rPr>
                <w:rFonts w:ascii="Times New Roman" w:hAnsi="Times New Roman"/>
                <w:lang w:eastAsia="en-US"/>
              </w:rPr>
              <w:t>,</w:t>
            </w:r>
            <w:r w:rsidRPr="00E37A57">
              <w:rPr>
                <w:rFonts w:ascii="Times New Roman" w:hAnsi="Times New Roman"/>
                <w:lang w:eastAsia="en-US"/>
              </w:rPr>
              <w:t xml:space="preserve"> nie mniej niż 190µA.  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Jeżeli 190 µA jest na kącie większym niż 0,45</w:t>
            </w:r>
            <w:r w:rsidR="00993DA6" w:rsidRPr="00E37A57">
              <w:rPr>
                <w:rFonts w:ascii="Times New Roman" w:hAnsi="Times New Roman" w:hint="eastAsia"/>
                <w:lang w:eastAsia="en-US"/>
              </w:rPr>
              <w:t xml:space="preserve"> Θ</w:t>
            </w:r>
            <w:r w:rsidRPr="00E37A57">
              <w:rPr>
                <w:rFonts w:ascii="Times New Roman" w:hAnsi="Times New Roman"/>
                <w:lang w:eastAsia="en-US"/>
              </w:rPr>
              <w:t>, musi być utrzymane do ≤ 0,45</w:t>
            </w:r>
            <w:r w:rsidR="00993DA6" w:rsidRPr="00E37A57">
              <w:rPr>
                <w:rFonts w:ascii="Times New Roman" w:hAnsi="Times New Roman" w:hint="eastAsia"/>
                <w:lang w:eastAsia="en-US"/>
              </w:rPr>
              <w:t xml:space="preserve"> Θ</w:t>
            </w:r>
          </w:p>
          <w:p w:rsidR="00993DA6" w:rsidRPr="00E37A57" w:rsidRDefault="00993DA6" w:rsidP="00B56CDD">
            <w:pPr>
              <w:suppressAutoHyphens/>
              <w:ind w:left="-108" w:right="-108"/>
              <w:rPr>
                <w:rFonts w:ascii="Times New Roman" w:hAnsi="Times New Roman"/>
                <w:sz w:val="14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Musi osiągnąć co najmniej 150 µA i nie spaść poniżej 150 µA, póki nie zostanie osiągnięte 1,75</w:t>
            </w:r>
            <w:r w:rsidR="00A2779F" w:rsidRPr="00E37A57">
              <w:rPr>
                <w:rFonts w:ascii="Times New Roman" w:hAnsi="Times New Roman" w:hint="eastAsia"/>
                <w:lang w:eastAsia="en-US"/>
              </w:rPr>
              <w:t>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3BDE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±6 µA 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przy </w:t>
            </w:r>
            <w:proofErr w:type="spellStart"/>
            <w:r w:rsidRPr="00E37A57">
              <w:rPr>
                <w:rFonts w:ascii="Times New Roman" w:hAnsi="Times New Roman"/>
                <w:lang w:eastAsia="en-US"/>
              </w:rPr>
              <w:t>I</w:t>
            </w:r>
            <w:r w:rsidRPr="00E37A57">
              <w:rPr>
                <w:rFonts w:ascii="Times New Roman" w:hAnsi="Times New Roman"/>
                <w:vertAlign w:val="subscript"/>
                <w:lang w:eastAsia="en-US"/>
              </w:rPr>
              <w:t>wej</w:t>
            </w:r>
            <w:proofErr w:type="spellEnd"/>
            <w:r w:rsidRPr="00E37A57">
              <w:rPr>
                <w:rFonts w:ascii="Times New Roman" w:hAnsi="Times New Roman"/>
                <w:lang w:eastAsia="en-US"/>
              </w:rPr>
              <w:t>=190 µA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  <w:tr w:rsidR="005E283D" w:rsidRPr="00E37A57" w:rsidTr="000F7FC1">
        <w:trPr>
          <w:trHeight w:val="593"/>
        </w:trPr>
        <w:tc>
          <w:tcPr>
            <w:tcW w:w="1418" w:type="dxa"/>
            <w:shd w:val="clear" w:color="auto" w:fill="auto"/>
            <w:vAlign w:val="center"/>
          </w:tcPr>
          <w:p w:rsidR="005325ED" w:rsidRPr="00E37A57" w:rsidRDefault="005325ED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Zabezpieczenie nad przeszkodami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25ED" w:rsidRPr="00E37A57" w:rsidRDefault="005325ED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325ED" w:rsidRPr="00E37A57" w:rsidRDefault="005325ED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5325ED" w:rsidRPr="00E37A57" w:rsidRDefault="009F643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Bezpieczna wyrazistość na 180</w:t>
            </w:r>
            <w:r w:rsidRPr="00E37A57">
              <w:rPr>
                <w:rFonts w:ascii="Times New Roman" w:hAnsi="Times New Roman"/>
                <w:lang w:eastAsia="en-US"/>
              </w:rPr>
              <w:t xml:space="preserve"> µA</w:t>
            </w:r>
            <w:r>
              <w:rPr>
                <w:rFonts w:ascii="Times New Roman" w:hAnsi="Times New Roman"/>
                <w:lang w:eastAsia="en-US"/>
              </w:rPr>
              <w:t xml:space="preserve"> (praca normalna) lub na 150</w:t>
            </w:r>
            <w:r w:rsidRPr="00E37A57">
              <w:rPr>
                <w:rFonts w:ascii="Times New Roman" w:hAnsi="Times New Roman"/>
                <w:lang w:eastAsia="en-US"/>
              </w:rPr>
              <w:t xml:space="preserve"> µA</w:t>
            </w:r>
            <w:r>
              <w:rPr>
                <w:rFonts w:ascii="Times New Roman" w:hAnsi="Times New Roman"/>
                <w:lang w:eastAsia="en-US"/>
              </w:rPr>
              <w:t xml:space="preserve"> (praca przy alarmie szerokim)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25ED" w:rsidRPr="00E37A57" w:rsidRDefault="005325ED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325ED" w:rsidRPr="000B07C7" w:rsidRDefault="009F643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0B07C7">
              <w:rPr>
                <w:rFonts w:ascii="Times New Roman" w:hAnsi="Times New Roman"/>
                <w:bCs/>
                <w:color w:val="000000"/>
                <w:sz w:val="24"/>
              </w:rPr>
              <w:sym w:font="Symbol" w:char="F0D6"/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325ED" w:rsidRPr="000B07C7" w:rsidRDefault="009F643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0B07C7">
              <w:rPr>
                <w:rFonts w:ascii="Times New Roman" w:hAnsi="Times New Roman"/>
                <w:bCs/>
                <w:color w:val="000000"/>
                <w:sz w:val="24"/>
              </w:rPr>
              <w:sym w:font="Symbol" w:char="F0D6"/>
            </w:r>
          </w:p>
        </w:tc>
      </w:tr>
      <w:tr w:rsidR="005E283D" w:rsidRPr="00E37A57" w:rsidTr="000F7FC1">
        <w:trPr>
          <w:trHeight w:val="1639"/>
        </w:trPr>
        <w:tc>
          <w:tcPr>
            <w:tcW w:w="1418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Struktura ścieżki schodzenia</w:t>
            </w:r>
          </w:p>
        </w:tc>
        <w:tc>
          <w:tcPr>
            <w:tcW w:w="1134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3.1.5.4</w:t>
            </w:r>
          </w:p>
        </w:tc>
        <w:tc>
          <w:tcPr>
            <w:tcW w:w="993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DDM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</w:tcPr>
          <w:p w:rsidR="008454B3" w:rsidRPr="00E37A57" w:rsidRDefault="00D9370D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</w:t>
            </w:r>
            <w:r w:rsidR="00A50DAC">
              <w:rPr>
                <w:rFonts w:ascii="Times New Roman" w:hAnsi="Times New Roman"/>
                <w:lang w:eastAsia="en-US"/>
              </w:rPr>
              <w:t xml:space="preserve"> </w:t>
            </w:r>
            <w:r w:rsidR="000E1257" w:rsidRPr="00E37A57">
              <w:rPr>
                <w:rFonts w:ascii="Times New Roman" w:hAnsi="Times New Roman"/>
                <w:lang w:eastAsia="en-US"/>
              </w:rPr>
              <w:t>I</w:t>
            </w:r>
            <w:r w:rsidR="00993DA6" w:rsidRPr="00E37A57">
              <w:rPr>
                <w:rFonts w:ascii="Times New Roman" w:hAnsi="Times New Roman"/>
                <w:lang w:eastAsia="en-US"/>
              </w:rPr>
              <w:t>:</w:t>
            </w:r>
          </w:p>
          <w:p w:rsidR="008454B3" w:rsidRPr="00E37A57" w:rsidRDefault="008454B3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D9370D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II</w:t>
            </w:r>
            <w:r w:rsidR="002A3E18">
              <w:rPr>
                <w:rFonts w:ascii="Times New Roman" w:hAnsi="Times New Roman"/>
                <w:lang w:eastAsia="en-US"/>
              </w:rPr>
              <w:t xml:space="preserve"> i III</w:t>
            </w:r>
          </w:p>
        </w:tc>
        <w:tc>
          <w:tcPr>
            <w:tcW w:w="2268" w:type="dxa"/>
            <w:gridSpan w:val="2"/>
            <w:tcBorders>
              <w:left w:val="nil"/>
            </w:tcBorders>
            <w:shd w:val="clear" w:color="auto" w:fill="auto"/>
          </w:tcPr>
          <w:p w:rsidR="00FE7353" w:rsidRDefault="008454B3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o</w:t>
            </w:r>
            <w:r w:rsidR="008B6062" w:rsidRPr="00E37A57">
              <w:rPr>
                <w:rFonts w:ascii="Times New Roman" w:hAnsi="Times New Roman"/>
                <w:lang w:eastAsia="en-US"/>
              </w:rPr>
              <w:t>d gran</w:t>
            </w:r>
            <w:r w:rsidR="00993DA6" w:rsidRPr="00E37A57">
              <w:rPr>
                <w:rFonts w:ascii="Times New Roman" w:hAnsi="Times New Roman"/>
                <w:lang w:eastAsia="en-US"/>
              </w:rPr>
              <w:t>icy zasięgu</w:t>
            </w:r>
            <w:r w:rsidR="00A50DAC">
              <w:rPr>
                <w:rFonts w:ascii="Times New Roman" w:hAnsi="Times New Roman"/>
                <w:lang w:eastAsia="en-US"/>
              </w:rPr>
              <w:t xml:space="preserve"> </w:t>
            </w:r>
            <w:r w:rsidR="00581673">
              <w:rPr>
                <w:rFonts w:ascii="Times New Roman" w:hAnsi="Times New Roman"/>
                <w:lang w:eastAsia="en-US"/>
              </w:rPr>
              <w:t xml:space="preserve">do </w:t>
            </w:r>
            <w:r w:rsidR="002A3E18">
              <w:rPr>
                <w:rFonts w:ascii="Times New Roman" w:hAnsi="Times New Roman"/>
                <w:lang w:eastAsia="en-US"/>
              </w:rPr>
              <w:t>p</w:t>
            </w:r>
            <w:r w:rsidR="004D3BDE">
              <w:rPr>
                <w:rFonts w:ascii="Times New Roman" w:hAnsi="Times New Roman"/>
                <w:lang w:eastAsia="en-US"/>
              </w:rPr>
              <w:t>unktu</w:t>
            </w:r>
            <w:r w:rsidR="002A3E18">
              <w:rPr>
                <w:rFonts w:ascii="Times New Roman" w:hAnsi="Times New Roman"/>
                <w:lang w:eastAsia="en-US"/>
              </w:rPr>
              <w:t xml:space="preserve"> „C”-30</w:t>
            </w:r>
            <w:r w:rsidR="002A3E18" w:rsidRPr="00E37A57">
              <w:rPr>
                <w:rFonts w:ascii="Times New Roman" w:hAnsi="Times New Roman"/>
                <w:lang w:eastAsia="en-US"/>
              </w:rPr>
              <w:t xml:space="preserve"> µA</w:t>
            </w:r>
          </w:p>
          <w:p w:rsidR="00581673" w:rsidRDefault="002A3E18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pod granicy zasięgu do p</w:t>
            </w:r>
            <w:r w:rsidR="004D3BDE">
              <w:rPr>
                <w:rFonts w:ascii="Times New Roman" w:hAnsi="Times New Roman"/>
                <w:lang w:eastAsia="en-US"/>
              </w:rPr>
              <w:t>unktu</w:t>
            </w:r>
            <w:r>
              <w:rPr>
                <w:rFonts w:ascii="Times New Roman" w:hAnsi="Times New Roman"/>
                <w:lang w:eastAsia="en-US"/>
              </w:rPr>
              <w:t xml:space="preserve"> „A” -30</w:t>
            </w:r>
            <w:r w:rsidRPr="00E37A57">
              <w:rPr>
                <w:rFonts w:ascii="Times New Roman" w:hAnsi="Times New Roman"/>
                <w:lang w:eastAsia="en-US"/>
              </w:rPr>
              <w:t xml:space="preserve"> µA</w:t>
            </w:r>
          </w:p>
          <w:p w:rsidR="00581673" w:rsidRDefault="002A3E18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 p</w:t>
            </w:r>
            <w:r w:rsidR="004D3BDE">
              <w:rPr>
                <w:rFonts w:ascii="Times New Roman" w:hAnsi="Times New Roman"/>
                <w:lang w:eastAsia="en-US"/>
              </w:rPr>
              <w:t>unktu</w:t>
            </w:r>
            <w:r>
              <w:rPr>
                <w:rFonts w:ascii="Times New Roman" w:hAnsi="Times New Roman"/>
                <w:lang w:eastAsia="en-US"/>
              </w:rPr>
              <w:t xml:space="preserve"> „A” do „B</w:t>
            </w:r>
            <w:r w:rsidR="004D3BDE">
              <w:rPr>
                <w:rFonts w:ascii="Times New Roman" w:hAnsi="Times New Roman"/>
                <w:lang w:eastAsia="en-US"/>
              </w:rPr>
              <w:t>” lin</w:t>
            </w:r>
            <w:r>
              <w:rPr>
                <w:rFonts w:ascii="Times New Roman" w:hAnsi="Times New Roman"/>
                <w:lang w:eastAsia="en-US"/>
              </w:rPr>
              <w:t>iowy spadek do 20</w:t>
            </w:r>
            <w:r w:rsidRPr="00E37A57">
              <w:rPr>
                <w:rFonts w:ascii="Times New Roman" w:hAnsi="Times New Roman"/>
                <w:lang w:eastAsia="en-US"/>
              </w:rPr>
              <w:t xml:space="preserve"> µA</w:t>
            </w:r>
          </w:p>
          <w:p w:rsidR="008B6062" w:rsidRPr="00E37A57" w:rsidRDefault="002A3E18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od pu</w:t>
            </w:r>
            <w:r w:rsidR="004D3BDE">
              <w:rPr>
                <w:rFonts w:ascii="Times New Roman" w:hAnsi="Times New Roman"/>
                <w:lang w:eastAsia="en-US"/>
              </w:rPr>
              <w:t>nktu</w:t>
            </w:r>
            <w:r>
              <w:rPr>
                <w:rFonts w:ascii="Times New Roman" w:hAnsi="Times New Roman"/>
                <w:lang w:eastAsia="en-US"/>
              </w:rPr>
              <w:t xml:space="preserve"> „B” do pu</w:t>
            </w:r>
            <w:r w:rsidR="004D3BDE">
              <w:rPr>
                <w:rFonts w:ascii="Times New Roman" w:hAnsi="Times New Roman"/>
                <w:lang w:eastAsia="en-US"/>
              </w:rPr>
              <w:t>nktu</w:t>
            </w:r>
            <w:r>
              <w:rPr>
                <w:rFonts w:ascii="Times New Roman" w:hAnsi="Times New Roman"/>
                <w:lang w:eastAsia="en-US"/>
              </w:rPr>
              <w:t xml:space="preserve"> odniesienia - 20</w:t>
            </w:r>
            <w:r w:rsidRPr="00E37A57">
              <w:rPr>
                <w:rFonts w:ascii="Times New Roman" w:hAnsi="Times New Roman"/>
                <w:lang w:eastAsia="en-US"/>
              </w:rPr>
              <w:t xml:space="preserve"> µA</w:t>
            </w:r>
          </w:p>
        </w:tc>
        <w:tc>
          <w:tcPr>
            <w:tcW w:w="1843" w:type="dxa"/>
            <w:shd w:val="clear" w:color="auto" w:fill="auto"/>
          </w:tcPr>
          <w:p w:rsidR="008B6062" w:rsidRDefault="00D9370D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I: 3 µA</w:t>
            </w:r>
          </w:p>
          <w:p w:rsidR="002070DC" w:rsidRPr="00E37A57" w:rsidRDefault="002070DC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Default="00D9370D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II</w:t>
            </w:r>
            <w:r w:rsidR="002A3E18">
              <w:rPr>
                <w:rFonts w:ascii="Times New Roman" w:hAnsi="Times New Roman"/>
                <w:lang w:eastAsia="en-US"/>
              </w:rPr>
              <w:t xml:space="preserve"> i III</w:t>
            </w:r>
            <w:r w:rsidR="008B6062" w:rsidRPr="00E37A57">
              <w:rPr>
                <w:rFonts w:ascii="Times New Roman" w:hAnsi="Times New Roman"/>
                <w:lang w:eastAsia="en-US"/>
              </w:rPr>
              <w:t>: 2 µA</w:t>
            </w:r>
          </w:p>
          <w:p w:rsidR="002070DC" w:rsidRPr="00E37A57" w:rsidRDefault="002070DC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</w:rPr>
              <w:t>√</w:t>
            </w:r>
          </w:p>
        </w:tc>
      </w:tr>
      <w:tr w:rsidR="005E283D" w:rsidRPr="00E37A57" w:rsidTr="000F7FC1">
        <w:trPr>
          <w:trHeight w:val="495"/>
        </w:trPr>
        <w:tc>
          <w:tcPr>
            <w:tcW w:w="1418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Modulacja</w:t>
            </w:r>
            <w:r w:rsidR="00A95CAE" w:rsidRPr="00E37A57">
              <w:rPr>
                <w:rFonts w:ascii="Times New Roman" w:hAnsi="Times New Roman"/>
                <w:lang w:eastAsia="en-US"/>
              </w:rPr>
              <w:t>: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</w:t>
            </w:r>
            <w:r w:rsidR="000339E6" w:rsidRPr="00E37A57">
              <w:rPr>
                <w:rFonts w:ascii="Times New Roman" w:hAnsi="Times New Roman"/>
                <w:lang w:eastAsia="en-US"/>
              </w:rPr>
              <w:t xml:space="preserve"> g</w:t>
            </w:r>
            <w:r w:rsidRPr="00E37A57">
              <w:rPr>
                <w:rFonts w:ascii="Times New Roman" w:hAnsi="Times New Roman"/>
                <w:lang w:eastAsia="en-US"/>
              </w:rPr>
              <w:t>łębokość</w:t>
            </w:r>
          </w:p>
        </w:tc>
        <w:tc>
          <w:tcPr>
            <w:tcW w:w="1134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3.1.5.5.1</w:t>
            </w:r>
          </w:p>
        </w:tc>
        <w:tc>
          <w:tcPr>
            <w:tcW w:w="993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Głębokość modulacji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37,5% do 42,5% dla każdego sygnału modulującego (tonu) </w:t>
            </w:r>
          </w:p>
        </w:tc>
        <w:tc>
          <w:tcPr>
            <w:tcW w:w="1843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0,5%</w:t>
            </w:r>
          </w:p>
        </w:tc>
        <w:tc>
          <w:tcPr>
            <w:tcW w:w="425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</w:rPr>
              <w:t>√</w:t>
            </w:r>
          </w:p>
        </w:tc>
      </w:tr>
      <w:tr w:rsidR="005E283D" w:rsidRPr="00E37A57" w:rsidTr="000F7FC1">
        <w:trPr>
          <w:trHeight w:val="1738"/>
        </w:trPr>
        <w:tc>
          <w:tcPr>
            <w:tcW w:w="1418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</w:t>
            </w:r>
            <w:r w:rsidR="000339E6" w:rsidRPr="00E37A57">
              <w:rPr>
                <w:rFonts w:ascii="Times New Roman" w:hAnsi="Times New Roman"/>
                <w:lang w:eastAsia="en-US"/>
              </w:rPr>
              <w:t xml:space="preserve"> z</w:t>
            </w:r>
            <w:r w:rsidRPr="00E37A57">
              <w:rPr>
                <w:rFonts w:ascii="Times New Roman" w:hAnsi="Times New Roman"/>
                <w:lang w:eastAsia="en-US"/>
              </w:rPr>
              <w:t>asięg użyteczny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</w:t>
            </w:r>
            <w:r w:rsidR="000339E6" w:rsidRPr="00E37A57">
              <w:rPr>
                <w:rFonts w:ascii="Times New Roman" w:hAnsi="Times New Roman"/>
                <w:lang w:eastAsia="en-US"/>
              </w:rPr>
              <w:t xml:space="preserve"> n</w:t>
            </w:r>
            <w:r w:rsidRPr="00E37A57">
              <w:rPr>
                <w:rFonts w:ascii="Times New Roman" w:hAnsi="Times New Roman"/>
                <w:lang w:eastAsia="en-US"/>
              </w:rPr>
              <w:t>atężenie pola</w:t>
            </w:r>
          </w:p>
        </w:tc>
        <w:tc>
          <w:tcPr>
            <w:tcW w:w="1134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3.1.5.3</w:t>
            </w:r>
          </w:p>
        </w:tc>
        <w:tc>
          <w:tcPr>
            <w:tcW w:w="993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3" w:type="dxa"/>
            <w:gridSpan w:val="3"/>
            <w:shd w:val="clear" w:color="auto" w:fill="auto"/>
          </w:tcPr>
          <w:p w:rsidR="00434165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Poprawna praca odbiornika w sektorze ±8° od środka centralnej linii radiolatarni kierunku ILS dla co najmniej 18,5km 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(10 NM) w zakresie 1,75</w:t>
            </w:r>
            <w:r w:rsidR="00E94E78" w:rsidRPr="00E37A57">
              <w:rPr>
                <w:rFonts w:ascii="Times New Roman" w:hAnsi="Times New Roman" w:hint="eastAsia"/>
                <w:lang w:eastAsia="en-US"/>
              </w:rPr>
              <w:t>Θ</w:t>
            </w:r>
            <w:r w:rsidRPr="00E37A57">
              <w:rPr>
                <w:rFonts w:ascii="Times New Roman" w:hAnsi="Times New Roman"/>
                <w:lang w:eastAsia="en-US"/>
              </w:rPr>
              <w:t xml:space="preserve"> ponad płaszczyznę horyzontalną,</w:t>
            </w:r>
            <w:r w:rsidR="00F06ADB">
              <w:rPr>
                <w:rFonts w:ascii="Times New Roman" w:hAnsi="Times New Roman"/>
                <w:lang w:eastAsia="en-US"/>
              </w:rPr>
              <w:t xml:space="preserve"> </w:t>
            </w:r>
            <w:r w:rsidRPr="00E37A57">
              <w:rPr>
                <w:rFonts w:ascii="Times New Roman" w:hAnsi="Times New Roman"/>
                <w:lang w:eastAsia="en-US"/>
              </w:rPr>
              <w:t>lub dla niskiego kąta do0,3</w:t>
            </w:r>
            <w:r w:rsidR="00E94E78" w:rsidRPr="00E37A57">
              <w:rPr>
                <w:rFonts w:ascii="Times New Roman" w:hAnsi="Times New Roman" w:hint="eastAsia"/>
                <w:lang w:eastAsia="en-US"/>
              </w:rPr>
              <w:t xml:space="preserve"> Θ</w:t>
            </w:r>
            <w:r w:rsidRPr="00E37A57">
              <w:rPr>
                <w:rFonts w:ascii="Times New Roman" w:hAnsi="Times New Roman"/>
                <w:lang w:eastAsia="en-US"/>
              </w:rPr>
              <w:t xml:space="preserve"> jako wymagane dla zabezpieczenia procedury przechwycenia ścieżki schodzenia.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&gt;400 µV/m (-95 </w:t>
            </w:r>
            <w:proofErr w:type="spellStart"/>
            <w:r w:rsidRPr="00E37A57">
              <w:rPr>
                <w:rFonts w:ascii="Times New Roman" w:hAnsi="Times New Roman"/>
                <w:lang w:eastAsia="en-US"/>
              </w:rPr>
              <w:t>dBW</w:t>
            </w:r>
            <w:proofErr w:type="spellEnd"/>
            <w:r w:rsidRPr="00E37A57">
              <w:rPr>
                <w:rFonts w:ascii="Times New Roman" w:hAnsi="Times New Roman"/>
                <w:lang w:eastAsia="en-US"/>
              </w:rPr>
              <w:t>/m</w:t>
            </w:r>
            <w:r w:rsidRPr="00E37A57">
              <w:rPr>
                <w:rFonts w:ascii="Times New Roman" w:hAnsi="Times New Roman"/>
                <w:vertAlign w:val="superscript"/>
                <w:lang w:eastAsia="en-US"/>
              </w:rPr>
              <w:t>2</w:t>
            </w:r>
            <w:r w:rsidRPr="00E37A57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±3 </w:t>
            </w:r>
            <w:proofErr w:type="spellStart"/>
            <w:r w:rsidRPr="00E37A57">
              <w:rPr>
                <w:rFonts w:ascii="Times New Roman" w:hAnsi="Times New Roman"/>
                <w:lang w:eastAsia="en-US"/>
              </w:rPr>
              <w:t>dB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lang w:eastAsia="en-US"/>
              </w:rPr>
              <w:t>√</w:t>
            </w:r>
          </w:p>
        </w:tc>
        <w:tc>
          <w:tcPr>
            <w:tcW w:w="426" w:type="dxa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lang w:eastAsia="en-US"/>
              </w:rPr>
              <w:t>√</w:t>
            </w:r>
          </w:p>
        </w:tc>
      </w:tr>
      <w:tr w:rsidR="005E283D" w:rsidRPr="00E37A57" w:rsidTr="000F7FC1">
        <w:trPr>
          <w:trHeight w:val="717"/>
        </w:trPr>
        <w:tc>
          <w:tcPr>
            <w:tcW w:w="1418" w:type="dxa"/>
            <w:vMerge w:val="restart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Limity alarmowe monitorów</w:t>
            </w:r>
            <w:r w:rsidR="00A95CAE" w:rsidRPr="00E37A57">
              <w:rPr>
                <w:rFonts w:ascii="Times New Roman" w:hAnsi="Times New Roman"/>
                <w:lang w:eastAsia="en-US"/>
              </w:rPr>
              <w:t>: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</w:t>
            </w:r>
            <w:r w:rsidR="000339E6" w:rsidRPr="00E37A57">
              <w:rPr>
                <w:rFonts w:ascii="Times New Roman" w:hAnsi="Times New Roman"/>
                <w:lang w:eastAsia="en-US"/>
              </w:rPr>
              <w:t xml:space="preserve"> k</w:t>
            </w:r>
            <w:r w:rsidRPr="00E37A57">
              <w:rPr>
                <w:rFonts w:ascii="Times New Roman" w:hAnsi="Times New Roman"/>
                <w:lang w:eastAsia="en-US"/>
              </w:rPr>
              <w:t>ąt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</w:t>
            </w:r>
            <w:r w:rsidR="000339E6" w:rsidRPr="00E37A57">
              <w:rPr>
                <w:rFonts w:ascii="Times New Roman" w:hAnsi="Times New Roman"/>
                <w:lang w:eastAsia="en-US"/>
              </w:rPr>
              <w:t xml:space="preserve"> c</w:t>
            </w:r>
            <w:r w:rsidRPr="00E37A57">
              <w:rPr>
                <w:rFonts w:ascii="Times New Roman" w:hAnsi="Times New Roman"/>
                <w:lang w:eastAsia="en-US"/>
              </w:rPr>
              <w:t>zułość przemieszczania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3.1.5.7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DDM, </w:t>
            </w:r>
            <w:r w:rsidR="00DE691D">
              <w:rPr>
                <w:rFonts w:ascii="Times New Roman" w:hAnsi="Times New Roman"/>
                <w:lang w:eastAsia="en-US"/>
              </w:rPr>
              <w:t>k</w:t>
            </w:r>
            <w:r w:rsidRPr="00E37A57">
              <w:rPr>
                <w:rFonts w:ascii="Times New Roman" w:hAnsi="Times New Roman"/>
                <w:lang w:eastAsia="en-US"/>
              </w:rPr>
              <w:t>ąt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DDM, </w:t>
            </w:r>
            <w:r w:rsidR="00DE691D">
              <w:rPr>
                <w:rFonts w:ascii="Times New Roman" w:hAnsi="Times New Roman"/>
                <w:lang w:eastAsia="en-US"/>
              </w:rPr>
              <w:t>k</w:t>
            </w:r>
            <w:r w:rsidRPr="00E37A57">
              <w:rPr>
                <w:rFonts w:ascii="Times New Roman" w:hAnsi="Times New Roman"/>
                <w:lang w:eastAsia="en-US"/>
              </w:rPr>
              <w:t>ąt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Monitor musi </w:t>
            </w:r>
            <w:r w:rsidR="002A3E18">
              <w:rPr>
                <w:rFonts w:ascii="Times New Roman" w:hAnsi="Times New Roman"/>
                <w:lang w:eastAsia="en-US"/>
              </w:rPr>
              <w:t>wywołać</w:t>
            </w:r>
            <w:r w:rsidRPr="00E37A57">
              <w:rPr>
                <w:rFonts w:ascii="Times New Roman" w:hAnsi="Times New Roman"/>
                <w:lang w:eastAsia="en-US"/>
              </w:rPr>
              <w:t xml:space="preserve"> alarm przy zmianie kąta, którego wielkość przekroczy wartość kąta publikowanego o więcej niż ±7,5%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±4 µA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±4 µA</w:t>
            </w:r>
          </w:p>
          <w:p w:rsidR="002070DC" w:rsidRDefault="002070DC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2070DC" w:rsidRDefault="002070DC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672149" w:rsidRDefault="00672149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±1 </w:t>
            </w:r>
            <w:proofErr w:type="spellStart"/>
            <w:r w:rsidRPr="00E37A57">
              <w:rPr>
                <w:rFonts w:ascii="Times New Roman" w:hAnsi="Times New Roman"/>
                <w:lang w:eastAsia="en-US"/>
              </w:rPr>
              <w:t>dB</w:t>
            </w:r>
            <w:proofErr w:type="spellEnd"/>
          </w:p>
        </w:tc>
        <w:tc>
          <w:tcPr>
            <w:tcW w:w="425" w:type="dxa"/>
            <w:vMerge w:val="restart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lang w:eastAsia="en-US"/>
              </w:rPr>
              <w:t>√</w:t>
            </w: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lang w:eastAsia="en-US"/>
              </w:rPr>
              <w:t>√</w:t>
            </w:r>
          </w:p>
        </w:tc>
        <w:tc>
          <w:tcPr>
            <w:tcW w:w="426" w:type="dxa"/>
            <w:vMerge w:val="restart"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lang w:eastAsia="en-US"/>
              </w:rPr>
              <w:t>√</w:t>
            </w: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lang w:eastAsia="en-US"/>
              </w:rPr>
            </w:pPr>
            <w:r w:rsidRPr="00E37A57">
              <w:rPr>
                <w:lang w:eastAsia="en-US"/>
              </w:rPr>
              <w:t>√</w:t>
            </w:r>
          </w:p>
        </w:tc>
      </w:tr>
      <w:tr w:rsidR="005E283D" w:rsidRPr="00E37A57" w:rsidTr="000F7FC1">
        <w:trPr>
          <w:trHeight w:val="717"/>
        </w:trPr>
        <w:tc>
          <w:tcPr>
            <w:tcW w:w="1418" w:type="dxa"/>
            <w:vMerge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8B6062" w:rsidRPr="00E37A57" w:rsidRDefault="00D9370D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Kategoria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I: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2070DC" w:rsidRDefault="002070DC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D9370D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proofErr w:type="spellStart"/>
            <w:r w:rsidRPr="00E37A57">
              <w:rPr>
                <w:rFonts w:ascii="Times New Roman" w:hAnsi="Times New Roman"/>
                <w:lang w:eastAsia="en-US"/>
              </w:rPr>
              <w:t>Kategoria</w:t>
            </w:r>
            <w:r w:rsidR="004D3BDE">
              <w:rPr>
                <w:rFonts w:ascii="Times New Roman" w:hAnsi="Times New Roman"/>
                <w:lang w:eastAsia="en-US"/>
              </w:rPr>
              <w:t>II</w:t>
            </w:r>
            <w:proofErr w:type="spellEnd"/>
            <w:r w:rsidR="004D3BDE">
              <w:rPr>
                <w:rFonts w:ascii="Times New Roman" w:hAnsi="Times New Roman"/>
                <w:lang w:eastAsia="en-US"/>
              </w:rPr>
              <w:t xml:space="preserve"> </w:t>
            </w:r>
            <w:r w:rsidR="000C6368">
              <w:rPr>
                <w:rFonts w:ascii="Times New Roman" w:hAnsi="Times New Roman"/>
                <w:lang w:eastAsia="en-US"/>
              </w:rPr>
              <w:t>i III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lastRenderedPageBreak/>
              <w:tab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37A57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 xml:space="preserve">Monitor musi </w:t>
            </w:r>
            <w:r w:rsidR="002A3E18">
              <w:rPr>
                <w:rFonts w:ascii="Times New Roman" w:hAnsi="Times New Roman"/>
                <w:sz w:val="18"/>
                <w:szCs w:val="18"/>
                <w:lang w:eastAsia="en-US"/>
              </w:rPr>
              <w:t>wywołać</w:t>
            </w:r>
            <w:r w:rsidRPr="00E37A57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alarm przy zmianie kąta między ścieżką schodz</w:t>
            </w:r>
            <w:r w:rsidR="00236F89" w:rsidRPr="00E37A57">
              <w:rPr>
                <w:rFonts w:ascii="Times New Roman" w:hAnsi="Times New Roman"/>
                <w:sz w:val="18"/>
                <w:szCs w:val="18"/>
                <w:lang w:eastAsia="en-US"/>
              </w:rPr>
              <w:t>enia</w:t>
            </w:r>
            <w:r w:rsidRPr="00E37A57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a linią poniżej ścieżki schodz</w:t>
            </w:r>
            <w:r w:rsidR="00236F89" w:rsidRPr="00E37A57">
              <w:rPr>
                <w:rFonts w:ascii="Times New Roman" w:hAnsi="Times New Roman"/>
                <w:sz w:val="18"/>
                <w:szCs w:val="18"/>
                <w:lang w:eastAsia="en-US"/>
              </w:rPr>
              <w:t>enia</w:t>
            </w:r>
            <w:r w:rsidRPr="00E37A57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odpowiadającej wartości 75µA o więcej niż 0,0375</w:t>
            </w:r>
            <w:r w:rsidR="00236F89" w:rsidRPr="00E37A57">
              <w:rPr>
                <w:rFonts w:ascii="Times New Roman" w:hAnsi="Times New Roman" w:hint="eastAsia"/>
                <w:lang w:eastAsia="en-US"/>
              </w:rPr>
              <w:t>Θ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Monitor musi </w:t>
            </w:r>
            <w:r w:rsidR="005325ED">
              <w:rPr>
                <w:rFonts w:ascii="Times New Roman" w:hAnsi="Times New Roman"/>
                <w:sz w:val="18"/>
                <w:szCs w:val="18"/>
                <w:lang w:eastAsia="en-US"/>
              </w:rPr>
              <w:t>wywołać</w:t>
            </w:r>
            <w:r w:rsidRPr="00E37A57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alarm przy zmianie czułości przemieszczania o więcej niż </w:t>
            </w:r>
            <w:r w:rsidRPr="00E37A57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25% wartości nominalnej</w:t>
            </w:r>
          </w:p>
        </w:tc>
        <w:tc>
          <w:tcPr>
            <w:tcW w:w="1843" w:type="dxa"/>
            <w:vMerge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</w:tr>
    </w:tbl>
    <w:p w:rsidR="008B6062" w:rsidRPr="008B6062" w:rsidRDefault="00873D0B" w:rsidP="00B56CDD">
      <w:pPr>
        <w:suppressAutoHyphens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szCs w:val="18"/>
        </w:rPr>
        <w:lastRenderedPageBreak/>
        <w:t xml:space="preserve">* </w:t>
      </w:r>
      <w:r w:rsidRPr="00A44F4F">
        <w:rPr>
          <w:rFonts w:ascii="Times New Roman" w:hAnsi="Times New Roman"/>
          <w:b/>
          <w:szCs w:val="18"/>
        </w:rPr>
        <w:t>W</w:t>
      </w:r>
      <w:r>
        <w:rPr>
          <w:rFonts w:ascii="Times New Roman" w:hAnsi="Times New Roman"/>
          <w:szCs w:val="18"/>
        </w:rPr>
        <w:t xml:space="preserve"> – kontrola wdrożeniowa, </w:t>
      </w:r>
      <w:r w:rsidRPr="00A44F4F">
        <w:rPr>
          <w:rFonts w:ascii="Times New Roman" w:hAnsi="Times New Roman"/>
          <w:b/>
          <w:szCs w:val="18"/>
        </w:rPr>
        <w:t>O</w:t>
      </w:r>
      <w:r>
        <w:rPr>
          <w:rFonts w:ascii="Times New Roman" w:hAnsi="Times New Roman"/>
          <w:szCs w:val="18"/>
        </w:rPr>
        <w:t xml:space="preserve"> – kontrola okresowa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="00672149">
        <w:rPr>
          <w:rFonts w:ascii="Times New Roman" w:hAnsi="Times New Roman"/>
          <w:b/>
          <w:bCs/>
          <w:color w:val="000000"/>
        </w:rPr>
        <w:br w:type="page"/>
      </w:r>
    </w:p>
    <w:p w:rsidR="008B6062" w:rsidRDefault="008B6062" w:rsidP="00B56CDD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Tabela T.3.7</w:t>
      </w:r>
      <w:r w:rsidRPr="0050395D">
        <w:rPr>
          <w:rFonts w:ascii="Times New Roman" w:hAnsi="Times New Roman"/>
          <w:b/>
        </w:rPr>
        <w:t xml:space="preserve">. </w:t>
      </w:r>
      <w:r w:rsidR="00CA62AB">
        <w:rPr>
          <w:rFonts w:ascii="Times New Roman" w:hAnsi="Times New Roman"/>
          <w:b/>
        </w:rPr>
        <w:t>Dopuszczalne w</w:t>
      </w:r>
      <w:r w:rsidRPr="0050395D">
        <w:rPr>
          <w:rFonts w:ascii="Times New Roman" w:hAnsi="Times New Roman"/>
          <w:b/>
        </w:rPr>
        <w:t xml:space="preserve">artości </w:t>
      </w:r>
      <w:r w:rsidR="00CA62AB">
        <w:rPr>
          <w:rFonts w:ascii="Times New Roman" w:hAnsi="Times New Roman"/>
          <w:b/>
        </w:rPr>
        <w:t xml:space="preserve">tolerancji </w:t>
      </w:r>
      <w:r w:rsidRPr="0050395D">
        <w:rPr>
          <w:rFonts w:ascii="Times New Roman" w:hAnsi="Times New Roman"/>
          <w:b/>
        </w:rPr>
        <w:t xml:space="preserve">parametrów </w:t>
      </w:r>
      <w:r w:rsidR="00DE691D">
        <w:rPr>
          <w:rFonts w:ascii="Times New Roman" w:hAnsi="Times New Roman"/>
          <w:b/>
        </w:rPr>
        <w:t>GBAS</w:t>
      </w:r>
      <w:r w:rsidR="00076C93">
        <w:rPr>
          <w:rFonts w:ascii="Times New Roman" w:hAnsi="Times New Roman"/>
          <w:b/>
        </w:rPr>
        <w:t xml:space="preserve"> </w:t>
      </w:r>
      <w:r w:rsidRPr="0050395D">
        <w:rPr>
          <w:rFonts w:ascii="Times New Roman" w:hAnsi="Times New Roman"/>
          <w:b/>
        </w:rPr>
        <w:t xml:space="preserve">sprawdzanych podczas kontroli z powietrza </w:t>
      </w:r>
      <w:r w:rsidR="00076C93">
        <w:rPr>
          <w:rFonts w:ascii="Times New Roman" w:hAnsi="Times New Roman"/>
          <w:b/>
        </w:rPr>
        <w:t xml:space="preserve"> </w:t>
      </w:r>
    </w:p>
    <w:p w:rsidR="00672149" w:rsidRPr="0050395D" w:rsidRDefault="00672149" w:rsidP="00B56CDD">
      <w:pPr>
        <w:suppressAutoHyphens/>
        <w:jc w:val="center"/>
        <w:rPr>
          <w:rFonts w:ascii="Times New Roman" w:hAnsi="Times New Roman"/>
          <w:b/>
          <w:sz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1134"/>
        <w:gridCol w:w="1241"/>
        <w:gridCol w:w="1775"/>
        <w:gridCol w:w="1237"/>
        <w:gridCol w:w="567"/>
        <w:gridCol w:w="567"/>
      </w:tblGrid>
      <w:tr w:rsidR="008B6062" w:rsidRPr="00E37A57" w:rsidTr="00672149">
        <w:trPr>
          <w:trHeight w:val="408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Parametr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B6062" w:rsidRPr="00E37A57" w:rsidRDefault="00DE3B68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Odniesienie do</w:t>
            </w:r>
            <w:r w:rsidR="00BB291D">
              <w:rPr>
                <w:rFonts w:ascii="Times New Roman" w:hAnsi="Times New Roman"/>
                <w:b/>
                <w:lang w:eastAsia="en-US"/>
              </w:rPr>
              <w:t xml:space="preserve"> pkt</w:t>
            </w:r>
            <w:r w:rsidRPr="00E37A57">
              <w:rPr>
                <w:rFonts w:ascii="Times New Roman" w:hAnsi="Times New Roman"/>
                <w:b/>
                <w:lang w:eastAsia="en-US"/>
              </w:rPr>
              <w:t xml:space="preserve"> Załącznika 10 Tom I do Konwencji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 xml:space="preserve">Odniesienie do </w:t>
            </w: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E37A57">
              <w:rPr>
                <w:rFonts w:ascii="Times New Roman" w:hAnsi="Times New Roman"/>
                <w:b/>
                <w:lang w:eastAsia="en-US"/>
              </w:rPr>
              <w:t>Doc</w:t>
            </w:r>
            <w:proofErr w:type="spellEnd"/>
            <w:r w:rsidRPr="00E37A57">
              <w:rPr>
                <w:rFonts w:ascii="Times New Roman" w:hAnsi="Times New Roman"/>
                <w:b/>
                <w:lang w:eastAsia="en-US"/>
              </w:rPr>
              <w:t xml:space="preserve"> 8071</w:t>
            </w: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Tom II</w:t>
            </w:r>
          </w:p>
        </w:tc>
        <w:tc>
          <w:tcPr>
            <w:tcW w:w="1241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Mierzona wielkość lub wymagana cecha</w:t>
            </w:r>
          </w:p>
        </w:tc>
        <w:tc>
          <w:tcPr>
            <w:tcW w:w="1775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Dopuszczalne tolerancje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Dokładność pomiaru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lang w:eastAsia="en-US"/>
              </w:rPr>
              <w:t>Rodzaj</w:t>
            </w:r>
          </w:p>
          <w:p w:rsidR="008B6062" w:rsidRPr="00E37A57" w:rsidRDefault="00AF0CDC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k</w:t>
            </w:r>
            <w:r w:rsidR="008B6062" w:rsidRPr="00E37A57">
              <w:rPr>
                <w:rFonts w:ascii="Times New Roman" w:hAnsi="Times New Roman"/>
                <w:b/>
                <w:bCs/>
                <w:lang w:eastAsia="en-US"/>
              </w:rPr>
              <w:t>ontroli</w:t>
            </w:r>
            <w:r w:rsidR="00A21D73">
              <w:rPr>
                <w:rFonts w:ascii="Times New Roman" w:hAnsi="Times New Roman"/>
                <w:b/>
                <w:bCs/>
                <w:lang w:eastAsia="en-US"/>
              </w:rPr>
              <w:t>*</w:t>
            </w:r>
          </w:p>
        </w:tc>
      </w:tr>
      <w:tr w:rsidR="008B6062" w:rsidRPr="00E37A57" w:rsidTr="00672149">
        <w:trPr>
          <w:cantSplit/>
          <w:trHeight w:val="489"/>
        </w:trPr>
        <w:tc>
          <w:tcPr>
            <w:tcW w:w="1844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41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W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37A57">
              <w:rPr>
                <w:rFonts w:ascii="Times New Roman" w:hAnsi="Times New Roman"/>
                <w:b/>
                <w:lang w:eastAsia="en-US"/>
              </w:rPr>
              <w:t>O</w:t>
            </w:r>
          </w:p>
        </w:tc>
      </w:tr>
      <w:tr w:rsidR="008B6062" w:rsidRPr="00E37A57" w:rsidTr="00672149">
        <w:trPr>
          <w:trHeight w:val="1100"/>
        </w:trPr>
        <w:tc>
          <w:tcPr>
            <w:tcW w:w="1844" w:type="dxa"/>
            <w:shd w:val="clear" w:color="auto" w:fill="auto"/>
            <w:vAlign w:val="center"/>
          </w:tcPr>
          <w:p w:rsidR="002075BA" w:rsidRPr="000F7FC1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0F7FC1">
              <w:rPr>
                <w:rFonts w:ascii="Times New Roman" w:hAnsi="Times New Roman"/>
                <w:bCs/>
                <w:color w:val="000000"/>
                <w:lang w:eastAsia="en-US"/>
              </w:rPr>
              <w:t xml:space="preserve">Dane FAS </w:t>
            </w:r>
            <w:r w:rsidR="002075BA" w:rsidRPr="000F7FC1">
              <w:rPr>
                <w:rFonts w:ascii="Times New Roman" w:hAnsi="Times New Roman"/>
                <w:bCs/>
                <w:color w:val="000000"/>
                <w:lang w:eastAsia="en-US"/>
              </w:rPr>
              <w:t>(</w:t>
            </w:r>
            <w:proofErr w:type="spellStart"/>
            <w:r w:rsidR="002075BA" w:rsidRPr="000F7FC1">
              <w:rPr>
                <w:rFonts w:ascii="Times New Roman" w:hAnsi="Times New Roman"/>
                <w:bCs/>
                <w:color w:val="000000"/>
                <w:lang w:eastAsia="en-US"/>
              </w:rPr>
              <w:t>Final</w:t>
            </w:r>
            <w:proofErr w:type="spellEnd"/>
            <w:r w:rsidR="002075BA" w:rsidRPr="000F7FC1">
              <w:rPr>
                <w:rFonts w:ascii="Times New Roman" w:hAnsi="Times New Roman"/>
                <w:bCs/>
                <w:color w:val="000000"/>
                <w:lang w:eastAsia="en-US"/>
              </w:rPr>
              <w:t xml:space="preserve"> </w:t>
            </w:r>
            <w:proofErr w:type="spellStart"/>
            <w:r w:rsidR="004156B2" w:rsidRPr="000F7FC1">
              <w:rPr>
                <w:rFonts w:ascii="Times New Roman" w:hAnsi="Times New Roman"/>
                <w:bCs/>
                <w:color w:val="000000"/>
                <w:lang w:eastAsia="en-US"/>
              </w:rPr>
              <w:t>Approach</w:t>
            </w:r>
            <w:r w:rsidR="002075BA" w:rsidRPr="000F7FC1">
              <w:rPr>
                <w:rFonts w:ascii="Times New Roman" w:hAnsi="Times New Roman"/>
                <w:bCs/>
                <w:color w:val="000000"/>
                <w:lang w:eastAsia="en-US"/>
              </w:rPr>
              <w:t>Segment</w:t>
            </w:r>
            <w:proofErr w:type="spellEnd"/>
            <w:r w:rsidR="002075BA" w:rsidRPr="000F7FC1">
              <w:rPr>
                <w:rFonts w:ascii="Times New Roman" w:hAnsi="Times New Roman"/>
                <w:bCs/>
                <w:color w:val="000000"/>
                <w:lang w:eastAsia="en-US"/>
              </w:rPr>
              <w:t>)</w:t>
            </w:r>
          </w:p>
          <w:p w:rsidR="008B6062" w:rsidRPr="00E37A57" w:rsidRDefault="008B6062" w:rsidP="00B56CDD">
            <w:pPr>
              <w:suppressAutoHyphens/>
              <w:ind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bCs/>
                <w:color w:val="000000"/>
                <w:lang w:eastAsia="en-US"/>
              </w:rPr>
              <w:t xml:space="preserve">– </w:t>
            </w:r>
            <w:r w:rsidR="00CC316C">
              <w:rPr>
                <w:rFonts w:ascii="Times New Roman" w:hAnsi="Times New Roman"/>
                <w:bCs/>
                <w:color w:val="000000"/>
                <w:lang w:eastAsia="en-US"/>
              </w:rPr>
              <w:t>s</w:t>
            </w:r>
            <w:r w:rsidRPr="00E37A57">
              <w:rPr>
                <w:rFonts w:ascii="Times New Roman" w:hAnsi="Times New Roman"/>
                <w:bCs/>
                <w:color w:val="000000"/>
                <w:lang w:eastAsia="en-US"/>
              </w:rPr>
              <w:t xml:space="preserve">egmentu podejścia końcowego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Zał</w:t>
            </w:r>
            <w:r w:rsidR="00DE3B68" w:rsidRPr="00E37A57">
              <w:rPr>
                <w:rFonts w:ascii="Times New Roman" w:hAnsi="Times New Roman"/>
                <w:lang w:eastAsia="en-US"/>
              </w:rPr>
              <w:t>ącznik</w:t>
            </w:r>
            <w:r w:rsidRPr="00E37A57">
              <w:rPr>
                <w:rFonts w:ascii="Times New Roman" w:hAnsi="Times New Roman"/>
                <w:lang w:eastAsia="en-US"/>
              </w:rPr>
              <w:t xml:space="preserve"> B</w:t>
            </w:r>
          </w:p>
          <w:p w:rsidR="00A52728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pkt </w:t>
            </w: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3.6.4.5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pkt  4.3.4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Ścieżka FAS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Zgodnie z opisem FAS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B6062" w:rsidRPr="00E37A57" w:rsidTr="00672149">
        <w:trPr>
          <w:trHeight w:val="690"/>
        </w:trPr>
        <w:tc>
          <w:tcPr>
            <w:tcW w:w="184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Procedura zatwierdzania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5.3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subiektywna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6062" w:rsidRPr="00E37A57" w:rsidTr="00672149">
        <w:trPr>
          <w:trHeight w:val="842"/>
        </w:trPr>
        <w:tc>
          <w:tcPr>
            <w:tcW w:w="184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Tłumienie zakłóceń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Zał</w:t>
            </w:r>
            <w:r w:rsidR="00DE3B68" w:rsidRPr="00E37A57">
              <w:rPr>
                <w:rFonts w:ascii="Times New Roman" w:hAnsi="Times New Roman"/>
                <w:lang w:eastAsia="en-US"/>
              </w:rPr>
              <w:t>ącznik</w:t>
            </w:r>
            <w:r w:rsidRPr="00E37A57">
              <w:rPr>
                <w:rFonts w:ascii="Times New Roman" w:hAnsi="Times New Roman"/>
                <w:lang w:eastAsia="en-US"/>
              </w:rPr>
              <w:t xml:space="preserve"> B</w:t>
            </w:r>
          </w:p>
          <w:p w:rsidR="00A52728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pkt </w:t>
            </w: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4.3.6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Poziom </w:t>
            </w:r>
          </w:p>
          <w:p w:rsidR="008B6062" w:rsidRPr="00E37A57" w:rsidRDefault="008B6062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sygnału </w:t>
            </w:r>
          </w:p>
          <w:p w:rsidR="008B6062" w:rsidRPr="00E37A57" w:rsidRDefault="008B6062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zakłócającego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&lt;</w:t>
            </w:r>
          </w:p>
          <w:p w:rsidR="008B6062" w:rsidRPr="00E37A57" w:rsidRDefault="00DE691D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Z</w:t>
            </w:r>
            <w:r w:rsidR="008B6062" w:rsidRPr="00E37A57">
              <w:rPr>
                <w:rFonts w:ascii="Times New Roman" w:hAnsi="Times New Roman"/>
                <w:lang w:eastAsia="en-US"/>
              </w:rPr>
              <w:t>definiowany poziom</w:t>
            </w: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zakłóceń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± 3 </w:t>
            </w:r>
            <w:proofErr w:type="spellStart"/>
            <w:r w:rsidRPr="00E37A57">
              <w:rPr>
                <w:rFonts w:ascii="Times New Roman" w:hAnsi="Times New Roman"/>
                <w:lang w:eastAsia="en-US"/>
              </w:rPr>
              <w:t>dB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6062" w:rsidRPr="00E37A57" w:rsidTr="00672149">
        <w:trPr>
          <w:trHeight w:val="1565"/>
        </w:trPr>
        <w:tc>
          <w:tcPr>
            <w:tcW w:w="1844" w:type="dxa"/>
            <w:shd w:val="clear" w:color="auto" w:fill="auto"/>
            <w:vAlign w:val="center"/>
          </w:tcPr>
          <w:p w:rsidR="008B6062" w:rsidRPr="00864312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864312">
              <w:rPr>
                <w:rFonts w:ascii="Times New Roman" w:hAnsi="Times New Roman"/>
                <w:lang w:val="en-US" w:eastAsia="en-US"/>
              </w:rPr>
              <w:t>Pokrycie</w:t>
            </w:r>
            <w:proofErr w:type="spellEnd"/>
            <w:r w:rsidRPr="00864312">
              <w:rPr>
                <w:rFonts w:ascii="Times New Roman" w:hAnsi="Times New Roman"/>
                <w:lang w:val="en-US" w:eastAsia="en-US"/>
              </w:rPr>
              <w:t xml:space="preserve"> VDB</w:t>
            </w:r>
            <w:r w:rsidR="004156B2" w:rsidRPr="00864312">
              <w:rPr>
                <w:rFonts w:ascii="Times New Roman" w:hAnsi="Times New Roman"/>
                <w:lang w:val="en-US" w:eastAsia="en-US"/>
              </w:rPr>
              <w:t xml:space="preserve"> (</w:t>
            </w:r>
            <w:r w:rsidR="004156B2" w:rsidRPr="00864312">
              <w:rPr>
                <w:rFonts w:ascii="Times New Roman" w:hAnsi="Times New Roman"/>
                <w:lang w:val="en-US"/>
              </w:rPr>
              <w:t>VHF Data Broadcast</w:t>
            </w:r>
            <w:r w:rsidR="004156B2" w:rsidRPr="00864312">
              <w:rPr>
                <w:rStyle w:val="Odwoaniedokomentarza"/>
                <w:lang w:val="en-US"/>
              </w:rPr>
              <w:t>)</w:t>
            </w:r>
          </w:p>
          <w:p w:rsidR="008B6062" w:rsidRPr="00864312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val="en-US" w:eastAsia="en-US"/>
              </w:rPr>
            </w:pPr>
          </w:p>
          <w:p w:rsidR="008B6062" w:rsidRPr="00E37A57" w:rsidRDefault="00C06AAC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Natężenie </w:t>
            </w:r>
            <w:r w:rsidR="008B6062" w:rsidRPr="00E37A57">
              <w:rPr>
                <w:rFonts w:ascii="Times New Roman" w:hAnsi="Times New Roman"/>
                <w:lang w:eastAsia="en-US"/>
              </w:rPr>
              <w:t>pola GBAS/H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C06AAC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Natężenie </w:t>
            </w:r>
            <w:r w:rsidR="008B6062" w:rsidRPr="00E37A57">
              <w:rPr>
                <w:rFonts w:ascii="Times New Roman" w:hAnsi="Times New Roman"/>
                <w:lang w:eastAsia="en-US"/>
              </w:rPr>
              <w:t xml:space="preserve"> pola GBAS/E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W poziomie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W pionie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3B68" w:rsidRPr="00E37A57" w:rsidRDefault="00DE3B68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Załącznik B</w:t>
            </w: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pkt </w:t>
            </w: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3.7.3.5.4.4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4.3.7</w:t>
            </w: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4.3.84.3.9</w:t>
            </w: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4.3.10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Siła pola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&gt;-99dBW/m</w:t>
            </w:r>
            <w:r w:rsidRPr="00E37A57">
              <w:rPr>
                <w:rFonts w:ascii="Times New Roman" w:hAnsi="Times New Roman"/>
                <w:vertAlign w:val="superscript"/>
                <w:lang w:eastAsia="en-US"/>
              </w:rPr>
              <w:t xml:space="preserve">2 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do -35dBW/m</w:t>
            </w:r>
            <w:r w:rsidRPr="00E37A57">
              <w:rPr>
                <w:rFonts w:ascii="Times New Roman" w:hAnsi="Times New Roman"/>
                <w:vertAlign w:val="superscript"/>
                <w:lang w:eastAsia="en-US"/>
              </w:rPr>
              <w:t xml:space="preserve">2 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&gt;-99dBW/m</w:t>
            </w:r>
            <w:r w:rsidRPr="00E37A57">
              <w:rPr>
                <w:rFonts w:ascii="Times New Roman" w:hAnsi="Times New Roman"/>
                <w:vertAlign w:val="superscript"/>
                <w:lang w:eastAsia="en-US"/>
              </w:rPr>
              <w:t xml:space="preserve">2 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do -35dBW/m</w:t>
            </w:r>
            <w:r w:rsidRPr="00E37A57">
              <w:rPr>
                <w:rFonts w:ascii="Times New Roman" w:hAnsi="Times New Roman"/>
                <w:vertAlign w:val="superscript"/>
                <w:lang w:eastAsia="en-US"/>
              </w:rPr>
              <w:t>2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&gt;-103dBW/m</w:t>
            </w:r>
            <w:r w:rsidRPr="00E37A57">
              <w:rPr>
                <w:rFonts w:ascii="Times New Roman" w:hAnsi="Times New Roman"/>
                <w:vertAlign w:val="superscript"/>
                <w:lang w:eastAsia="en-US"/>
              </w:rPr>
              <w:t xml:space="preserve">2 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do -39dBW/m</w:t>
            </w:r>
            <w:r w:rsidRPr="00E37A57">
              <w:rPr>
                <w:rFonts w:ascii="Times New Roman" w:hAnsi="Times New Roman"/>
                <w:vertAlign w:val="superscript"/>
                <w:lang w:eastAsia="en-US"/>
              </w:rPr>
              <w:t>2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± 3 </w:t>
            </w:r>
            <w:proofErr w:type="spellStart"/>
            <w:r w:rsidRPr="00E37A57">
              <w:rPr>
                <w:rFonts w:ascii="Times New Roman" w:hAnsi="Times New Roman"/>
                <w:lang w:eastAsia="en-US"/>
              </w:rPr>
              <w:t>dB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7A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6062" w:rsidRPr="00E37A57" w:rsidTr="00672149">
        <w:trPr>
          <w:trHeight w:val="1293"/>
        </w:trPr>
        <w:tc>
          <w:tcPr>
            <w:tcW w:w="1844" w:type="dxa"/>
            <w:shd w:val="clear" w:color="auto" w:fill="auto"/>
            <w:vAlign w:val="center"/>
          </w:tcPr>
          <w:p w:rsidR="008B6062" w:rsidRPr="00E37A57" w:rsidRDefault="008B6062" w:rsidP="00CC316C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Nagłówek </w:t>
            </w:r>
            <w:r w:rsidR="00C06AAC">
              <w:rPr>
                <w:rFonts w:ascii="Times New Roman" w:hAnsi="Times New Roman"/>
                <w:lang w:eastAsia="en-US"/>
              </w:rPr>
              <w:t xml:space="preserve">bloku depeszy </w:t>
            </w:r>
            <w:r w:rsidRPr="00E37A57">
              <w:rPr>
                <w:rFonts w:ascii="Times New Roman" w:hAnsi="Times New Roman"/>
                <w:lang w:eastAsia="en-US"/>
              </w:rPr>
              <w:t>(identyfikacja GBAS)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Zał</w:t>
            </w:r>
            <w:r w:rsidR="00DE3B68" w:rsidRPr="00E37A57">
              <w:rPr>
                <w:rFonts w:ascii="Times New Roman" w:hAnsi="Times New Roman"/>
                <w:lang w:eastAsia="en-US"/>
              </w:rPr>
              <w:t>ącznik</w:t>
            </w:r>
            <w:r w:rsidRPr="00E37A57">
              <w:rPr>
                <w:rFonts w:ascii="Times New Roman" w:hAnsi="Times New Roman"/>
                <w:lang w:eastAsia="en-US"/>
              </w:rPr>
              <w:t xml:space="preserve"> B</w:t>
            </w: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pkt 3.6.3.4.1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4.3.14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B6062" w:rsidRPr="00E37A57" w:rsidRDefault="00DE3B68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I</w:t>
            </w:r>
            <w:r w:rsidR="008B6062" w:rsidRPr="00E37A57">
              <w:rPr>
                <w:rFonts w:ascii="Times New Roman" w:hAnsi="Times New Roman"/>
                <w:lang w:eastAsia="en-US"/>
              </w:rPr>
              <w:t>dentyfikacja urządzenia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Dokładne 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dopasowanie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7A57">
              <w:rPr>
                <w:rFonts w:ascii="Times New Roman" w:hAnsi="Times New Roman"/>
                <w:sz w:val="24"/>
                <w:szCs w:val="24"/>
                <w:lang w:eastAsia="en-US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6062" w:rsidRPr="00E37A57" w:rsidTr="00672149">
        <w:trPr>
          <w:trHeight w:val="1269"/>
        </w:trPr>
        <w:tc>
          <w:tcPr>
            <w:tcW w:w="184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Zawartość danych wykorzystywanych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52728" w:rsidRPr="00E37A57" w:rsidRDefault="00DE3B68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Załącznik B</w:t>
            </w:r>
          </w:p>
          <w:p w:rsidR="00A52728" w:rsidRPr="00E37A57" w:rsidRDefault="00A52728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p</w:t>
            </w:r>
            <w:r w:rsidR="008B6062" w:rsidRPr="00E37A57">
              <w:rPr>
                <w:rFonts w:ascii="Times New Roman" w:hAnsi="Times New Roman"/>
                <w:lang w:eastAsia="en-US"/>
              </w:rPr>
              <w:t>kt</w:t>
            </w: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 3.6.4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4.3.15</w:t>
            </w: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4.3.16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Zawartość danych w wiadomości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 xml:space="preserve">Dokładne 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dopasowanie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7A57">
              <w:rPr>
                <w:rFonts w:ascii="Times New Roman" w:hAnsi="Times New Roman"/>
                <w:sz w:val="24"/>
                <w:szCs w:val="24"/>
                <w:lang w:eastAsia="en-US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6062" w:rsidRPr="00E37A57" w:rsidTr="00672149">
        <w:trPr>
          <w:trHeight w:val="990"/>
        </w:trPr>
        <w:tc>
          <w:tcPr>
            <w:tcW w:w="184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Dokładność położenia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(opcjonalnie)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4.3.17</w:t>
            </w:r>
          </w:p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4.3.18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both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Pozycja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4m pionowo</w:t>
            </w:r>
          </w:p>
          <w:p w:rsidR="008B6062" w:rsidRPr="00E37A57" w:rsidRDefault="008B6062" w:rsidP="00B56CDD">
            <w:pPr>
              <w:suppressAutoHyphens/>
              <w:ind w:left="-108" w:right="-108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16m poprzecznie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E37A57">
              <w:rPr>
                <w:rFonts w:ascii="Times New Roman" w:hAnsi="Times New Roman"/>
                <w:lang w:eastAsia="en-US"/>
              </w:rPr>
              <w:t>1m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7A57">
              <w:rPr>
                <w:rFonts w:ascii="Times New Roman" w:hAnsi="Times New Roman"/>
                <w:sz w:val="24"/>
                <w:szCs w:val="24"/>
                <w:lang w:eastAsia="en-US"/>
              </w:rPr>
              <w:t>√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062" w:rsidRPr="00E37A57" w:rsidRDefault="008B6062" w:rsidP="00B56CDD">
            <w:pPr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8B6062" w:rsidRPr="00E2400F" w:rsidRDefault="00873D0B" w:rsidP="00E2400F">
      <w:pPr>
        <w:rPr>
          <w:rFonts w:ascii="Times New Roman" w:hAnsi="Times New Roman"/>
        </w:rPr>
      </w:pPr>
      <w:r>
        <w:rPr>
          <w:rFonts w:ascii="Times New Roman" w:hAnsi="Times New Roman"/>
          <w:szCs w:val="18"/>
        </w:rPr>
        <w:t xml:space="preserve">* </w:t>
      </w:r>
      <w:r w:rsidRPr="00A44F4F">
        <w:rPr>
          <w:rFonts w:ascii="Times New Roman" w:hAnsi="Times New Roman"/>
          <w:b/>
          <w:szCs w:val="18"/>
        </w:rPr>
        <w:t>W</w:t>
      </w:r>
      <w:r>
        <w:rPr>
          <w:rFonts w:ascii="Times New Roman" w:hAnsi="Times New Roman"/>
          <w:szCs w:val="18"/>
        </w:rPr>
        <w:t xml:space="preserve"> – kontrola wdrożeniowa, </w:t>
      </w:r>
      <w:r w:rsidRPr="00A44F4F">
        <w:rPr>
          <w:rFonts w:ascii="Times New Roman" w:hAnsi="Times New Roman"/>
          <w:b/>
          <w:szCs w:val="18"/>
        </w:rPr>
        <w:t>O</w:t>
      </w:r>
      <w:r>
        <w:rPr>
          <w:rFonts w:ascii="Times New Roman" w:hAnsi="Times New Roman"/>
          <w:szCs w:val="18"/>
        </w:rPr>
        <w:t xml:space="preserve"> – kontrola okresowa</w:t>
      </w:r>
    </w:p>
    <w:sectPr w:rsidR="008B6062" w:rsidRPr="00E2400F" w:rsidSect="00234D1B">
      <w:footnotePr>
        <w:numRestart w:val="eachSect"/>
      </w:footnotePr>
      <w:pgSz w:w="11906" w:h="16838" w:code="9"/>
      <w:pgMar w:top="709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6D3" w:rsidRDefault="008B76D3" w:rsidP="00025B8B">
      <w:r>
        <w:separator/>
      </w:r>
    </w:p>
  </w:endnote>
  <w:endnote w:type="continuationSeparator" w:id="0">
    <w:p w:rsidR="008B76D3" w:rsidRDefault="008B76D3" w:rsidP="0002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">
    <w:altName w:val="Times New Roman"/>
    <w:panose1 w:val="00000000000000000000"/>
    <w:charset w:val="00"/>
    <w:family w:val="roman"/>
    <w:notTrueType/>
    <w:pitch w:val="default"/>
  </w:font>
  <w:font w:name="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6D3" w:rsidRDefault="008B76D3" w:rsidP="00025B8B">
      <w:r>
        <w:separator/>
      </w:r>
    </w:p>
  </w:footnote>
  <w:footnote w:type="continuationSeparator" w:id="0">
    <w:p w:rsidR="008B76D3" w:rsidRDefault="008B76D3" w:rsidP="00025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3EC"/>
    <w:multiLevelType w:val="hybridMultilevel"/>
    <w:tmpl w:val="E654C4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68415AB"/>
    <w:multiLevelType w:val="hybridMultilevel"/>
    <w:tmpl w:val="A0A8BAFE"/>
    <w:lvl w:ilvl="0" w:tplc="10A6319E">
      <w:start w:val="1"/>
      <w:numFmt w:val="decimal"/>
      <w:lvlText w:val="%1)"/>
      <w:lvlJc w:val="left"/>
      <w:pPr>
        <w:ind w:left="578" w:hanging="360"/>
      </w:pPr>
      <w:rPr>
        <w:rFonts w:cs="Times New Roman" w:hint="default"/>
        <w:color w:val="0000CC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">
    <w:nsid w:val="0AB6230F"/>
    <w:multiLevelType w:val="hybridMultilevel"/>
    <w:tmpl w:val="FD065F2E"/>
    <w:lvl w:ilvl="0" w:tplc="621072A8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1505109D"/>
    <w:multiLevelType w:val="hybridMultilevel"/>
    <w:tmpl w:val="81340BA4"/>
    <w:lvl w:ilvl="0" w:tplc="9A7ACB86">
      <w:start w:val="1"/>
      <w:numFmt w:val="decimal"/>
      <w:lvlText w:val="14.%1."/>
      <w:lvlJc w:val="left"/>
      <w:pPr>
        <w:tabs>
          <w:tab w:val="num" w:pos="613"/>
        </w:tabs>
        <w:ind w:left="613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F03B72"/>
    <w:multiLevelType w:val="hybridMultilevel"/>
    <w:tmpl w:val="421CB0BE"/>
    <w:lvl w:ilvl="0" w:tplc="FC0A8E80">
      <w:start w:val="1"/>
      <w:numFmt w:val="decimal"/>
      <w:lvlText w:val="%1)"/>
      <w:lvlJc w:val="left"/>
      <w:pPr>
        <w:ind w:left="1353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>
    <w:nsid w:val="24FD3735"/>
    <w:multiLevelType w:val="hybridMultilevel"/>
    <w:tmpl w:val="82045F22"/>
    <w:lvl w:ilvl="0" w:tplc="9800B954">
      <w:start w:val="1"/>
      <w:numFmt w:val="decimal"/>
      <w:lvlText w:val="15.%1."/>
      <w:lvlJc w:val="left"/>
      <w:pPr>
        <w:tabs>
          <w:tab w:val="num" w:pos="613"/>
        </w:tabs>
        <w:ind w:left="613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253D3F"/>
    <w:multiLevelType w:val="hybridMultilevel"/>
    <w:tmpl w:val="C7C67BBC"/>
    <w:lvl w:ilvl="0" w:tplc="E5F0D5F6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7">
    <w:nsid w:val="30A14262"/>
    <w:multiLevelType w:val="hybridMultilevel"/>
    <w:tmpl w:val="217013CA"/>
    <w:lvl w:ilvl="0" w:tplc="5072A5BA">
      <w:start w:val="9"/>
      <w:numFmt w:val="decimal"/>
      <w:lvlText w:val="%1."/>
      <w:lvlJc w:val="left"/>
      <w:pPr>
        <w:ind w:left="862" w:hanging="360"/>
      </w:pPr>
      <w:rPr>
        <w:rFonts w:cs="Times New Roman" w:hint="default"/>
        <w:b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7D55B1"/>
    <w:multiLevelType w:val="hybridMultilevel"/>
    <w:tmpl w:val="56D0C096"/>
    <w:lvl w:ilvl="0" w:tplc="E5F0D5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59C6528"/>
    <w:multiLevelType w:val="hybridMultilevel"/>
    <w:tmpl w:val="D850FD9C"/>
    <w:lvl w:ilvl="0" w:tplc="FE107906">
      <w:start w:val="1"/>
      <w:numFmt w:val="decimal"/>
      <w:lvlText w:val="%1)"/>
      <w:lvlJc w:val="righ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>
    <w:nsid w:val="46F14D2B"/>
    <w:multiLevelType w:val="hybridMultilevel"/>
    <w:tmpl w:val="A858D636"/>
    <w:lvl w:ilvl="0" w:tplc="61DA4A80">
      <w:start w:val="1"/>
      <w:numFmt w:val="decimal"/>
      <w:lvlText w:val="14.%1."/>
      <w:lvlJc w:val="left"/>
      <w:pPr>
        <w:tabs>
          <w:tab w:val="num" w:pos="613"/>
        </w:tabs>
        <w:ind w:left="613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ECD6262"/>
    <w:multiLevelType w:val="hybridMultilevel"/>
    <w:tmpl w:val="C668FBFE"/>
    <w:lvl w:ilvl="0" w:tplc="EEDC2FF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F02543B"/>
    <w:multiLevelType w:val="hybridMultilevel"/>
    <w:tmpl w:val="06483BDE"/>
    <w:lvl w:ilvl="0" w:tplc="1AB29DDE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  <w:b w:val="0"/>
        <w:i w:val="0"/>
        <w:sz w:val="22"/>
      </w:rPr>
    </w:lvl>
    <w:lvl w:ilvl="1" w:tplc="84983962">
      <w:start w:val="1"/>
      <w:numFmt w:val="lowerLetter"/>
      <w:lvlText w:val="%2)"/>
      <w:lvlJc w:val="left"/>
      <w:pPr>
        <w:ind w:left="158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3">
    <w:nsid w:val="552950EE"/>
    <w:multiLevelType w:val="hybridMultilevel"/>
    <w:tmpl w:val="19CC1FEA"/>
    <w:lvl w:ilvl="0" w:tplc="37065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8A73F92"/>
    <w:multiLevelType w:val="hybridMultilevel"/>
    <w:tmpl w:val="EB2A2960"/>
    <w:lvl w:ilvl="0" w:tplc="AC8CFD60">
      <w:start w:val="1"/>
      <w:numFmt w:val="decimal"/>
      <w:lvlText w:val="%1)"/>
      <w:lvlJc w:val="left"/>
      <w:pPr>
        <w:ind w:left="1638" w:hanging="64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5">
    <w:nsid w:val="59E163AC"/>
    <w:multiLevelType w:val="hybridMultilevel"/>
    <w:tmpl w:val="E9C49AFC"/>
    <w:lvl w:ilvl="0" w:tplc="E5F0D5F6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  <w:b w:val="0"/>
        <w:i w:val="0"/>
        <w:sz w:val="22"/>
      </w:rPr>
    </w:lvl>
    <w:lvl w:ilvl="1" w:tplc="1FDED0A6">
      <w:start w:val="1"/>
      <w:numFmt w:val="decimal"/>
      <w:lvlText w:val="%2)"/>
      <w:lvlJc w:val="left"/>
      <w:pPr>
        <w:ind w:left="158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6">
    <w:nsid w:val="5B423C74"/>
    <w:multiLevelType w:val="hybridMultilevel"/>
    <w:tmpl w:val="00DC3B50"/>
    <w:lvl w:ilvl="0" w:tplc="4A12F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D6544BE"/>
    <w:multiLevelType w:val="hybridMultilevel"/>
    <w:tmpl w:val="D89097A8"/>
    <w:lvl w:ilvl="0" w:tplc="738C3C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66C7E67"/>
    <w:multiLevelType w:val="hybridMultilevel"/>
    <w:tmpl w:val="2B42D4FE"/>
    <w:lvl w:ilvl="0" w:tplc="7CBE0EC6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D6B7557"/>
    <w:multiLevelType w:val="hybridMultilevel"/>
    <w:tmpl w:val="7338C1CC"/>
    <w:lvl w:ilvl="0" w:tplc="212E430C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>
    <w:nsid w:val="70332A72"/>
    <w:multiLevelType w:val="hybridMultilevel"/>
    <w:tmpl w:val="33141010"/>
    <w:lvl w:ilvl="0" w:tplc="AD84514C">
      <w:start w:val="1"/>
      <w:numFmt w:val="decimal"/>
      <w:lvlText w:val="15.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8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27" w:hanging="180"/>
      </w:pPr>
      <w:rPr>
        <w:rFonts w:cs="Times New Roman"/>
      </w:rPr>
    </w:lvl>
  </w:abstractNum>
  <w:abstractNum w:abstractNumId="21">
    <w:nsid w:val="72741446"/>
    <w:multiLevelType w:val="hybridMultilevel"/>
    <w:tmpl w:val="938E5B48"/>
    <w:lvl w:ilvl="0" w:tplc="AF5E1E8E">
      <w:start w:val="1"/>
      <w:numFmt w:val="decimal"/>
      <w:lvlText w:val="15.%1."/>
      <w:lvlJc w:val="left"/>
      <w:pPr>
        <w:tabs>
          <w:tab w:val="num" w:pos="613"/>
        </w:tabs>
        <w:ind w:left="613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36F4A59"/>
    <w:multiLevelType w:val="hybridMultilevel"/>
    <w:tmpl w:val="DE6A4D14"/>
    <w:lvl w:ilvl="0" w:tplc="51FCAB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74C68D0"/>
    <w:multiLevelType w:val="hybridMultilevel"/>
    <w:tmpl w:val="C596A3A2"/>
    <w:lvl w:ilvl="0" w:tplc="C90C5CDC">
      <w:start w:val="1"/>
      <w:numFmt w:val="decimal"/>
      <w:lvlText w:val="14.%1."/>
      <w:lvlJc w:val="left"/>
      <w:pPr>
        <w:tabs>
          <w:tab w:val="num" w:pos="613"/>
        </w:tabs>
        <w:ind w:left="613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  <w:rPr>
        <w:rFonts w:cs="Times New Roman"/>
      </w:rPr>
    </w:lvl>
  </w:abstractNum>
  <w:abstractNum w:abstractNumId="24">
    <w:nsid w:val="7AEC1409"/>
    <w:multiLevelType w:val="hybridMultilevel"/>
    <w:tmpl w:val="BF34E8D4"/>
    <w:lvl w:ilvl="0" w:tplc="D5F0FF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2"/>
  </w:num>
  <w:num w:numId="5">
    <w:abstractNumId w:val="7"/>
  </w:num>
  <w:num w:numId="6">
    <w:abstractNumId w:val="9"/>
  </w:num>
  <w:num w:numId="7">
    <w:abstractNumId w:val="2"/>
  </w:num>
  <w:num w:numId="8">
    <w:abstractNumId w:val="11"/>
  </w:num>
  <w:num w:numId="9">
    <w:abstractNumId w:val="1"/>
  </w:num>
  <w:num w:numId="10">
    <w:abstractNumId w:val="4"/>
  </w:num>
  <w:num w:numId="11">
    <w:abstractNumId w:val="18"/>
  </w:num>
  <w:num w:numId="12">
    <w:abstractNumId w:val="14"/>
  </w:num>
  <w:num w:numId="13">
    <w:abstractNumId w:val="23"/>
  </w:num>
  <w:num w:numId="14">
    <w:abstractNumId w:val="21"/>
  </w:num>
  <w:num w:numId="15">
    <w:abstractNumId w:val="10"/>
  </w:num>
  <w:num w:numId="16">
    <w:abstractNumId w:val="20"/>
  </w:num>
  <w:num w:numId="17">
    <w:abstractNumId w:val="3"/>
  </w:num>
  <w:num w:numId="18">
    <w:abstractNumId w:val="5"/>
  </w:num>
  <w:num w:numId="19">
    <w:abstractNumId w:val="0"/>
  </w:num>
  <w:num w:numId="20">
    <w:abstractNumId w:val="24"/>
  </w:num>
  <w:num w:numId="21">
    <w:abstractNumId w:val="16"/>
  </w:num>
  <w:num w:numId="22">
    <w:abstractNumId w:val="17"/>
  </w:num>
  <w:num w:numId="23">
    <w:abstractNumId w:val="13"/>
  </w:num>
  <w:num w:numId="24">
    <w:abstractNumId w:val="2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10"/>
    <w:rsid w:val="0000140F"/>
    <w:rsid w:val="000027AC"/>
    <w:rsid w:val="00003AA4"/>
    <w:rsid w:val="00005702"/>
    <w:rsid w:val="000061B1"/>
    <w:rsid w:val="000122B8"/>
    <w:rsid w:val="00012C3A"/>
    <w:rsid w:val="000160C9"/>
    <w:rsid w:val="000166A4"/>
    <w:rsid w:val="0002177C"/>
    <w:rsid w:val="00025B8B"/>
    <w:rsid w:val="000270A1"/>
    <w:rsid w:val="00027106"/>
    <w:rsid w:val="000301AB"/>
    <w:rsid w:val="000317DA"/>
    <w:rsid w:val="000339E6"/>
    <w:rsid w:val="00044002"/>
    <w:rsid w:val="000444C2"/>
    <w:rsid w:val="00045663"/>
    <w:rsid w:val="00045D05"/>
    <w:rsid w:val="0004614F"/>
    <w:rsid w:val="00050523"/>
    <w:rsid w:val="0005323C"/>
    <w:rsid w:val="000534F8"/>
    <w:rsid w:val="00055184"/>
    <w:rsid w:val="00057E50"/>
    <w:rsid w:val="00063847"/>
    <w:rsid w:val="00065500"/>
    <w:rsid w:val="00066C97"/>
    <w:rsid w:val="00071E2B"/>
    <w:rsid w:val="00073821"/>
    <w:rsid w:val="00074966"/>
    <w:rsid w:val="0007596B"/>
    <w:rsid w:val="0007677F"/>
    <w:rsid w:val="00076C93"/>
    <w:rsid w:val="00076FDB"/>
    <w:rsid w:val="00081243"/>
    <w:rsid w:val="00081E66"/>
    <w:rsid w:val="000842FA"/>
    <w:rsid w:val="00087C0F"/>
    <w:rsid w:val="00087EBF"/>
    <w:rsid w:val="00092C20"/>
    <w:rsid w:val="00095536"/>
    <w:rsid w:val="0009682D"/>
    <w:rsid w:val="000A11C7"/>
    <w:rsid w:val="000A1D0F"/>
    <w:rsid w:val="000A5FF1"/>
    <w:rsid w:val="000B07C7"/>
    <w:rsid w:val="000B0A7B"/>
    <w:rsid w:val="000B0EDF"/>
    <w:rsid w:val="000B25F7"/>
    <w:rsid w:val="000B6EF6"/>
    <w:rsid w:val="000B7950"/>
    <w:rsid w:val="000C4733"/>
    <w:rsid w:val="000C6368"/>
    <w:rsid w:val="000D5A53"/>
    <w:rsid w:val="000D6545"/>
    <w:rsid w:val="000E1257"/>
    <w:rsid w:val="000E37CF"/>
    <w:rsid w:val="000E463C"/>
    <w:rsid w:val="000E60CF"/>
    <w:rsid w:val="000F12E1"/>
    <w:rsid w:val="000F1BE3"/>
    <w:rsid w:val="000F2B0B"/>
    <w:rsid w:val="000F7FC1"/>
    <w:rsid w:val="00111F97"/>
    <w:rsid w:val="001139EC"/>
    <w:rsid w:val="00116D82"/>
    <w:rsid w:val="0012052D"/>
    <w:rsid w:val="00122110"/>
    <w:rsid w:val="0012372C"/>
    <w:rsid w:val="001267ED"/>
    <w:rsid w:val="00126E9E"/>
    <w:rsid w:val="00127250"/>
    <w:rsid w:val="00132C8E"/>
    <w:rsid w:val="00134036"/>
    <w:rsid w:val="00136E35"/>
    <w:rsid w:val="001405F2"/>
    <w:rsid w:val="00141DAE"/>
    <w:rsid w:val="00143D67"/>
    <w:rsid w:val="001447EA"/>
    <w:rsid w:val="00154888"/>
    <w:rsid w:val="001577A8"/>
    <w:rsid w:val="001579B5"/>
    <w:rsid w:val="00160D55"/>
    <w:rsid w:val="00161670"/>
    <w:rsid w:val="0016477B"/>
    <w:rsid w:val="0016554E"/>
    <w:rsid w:val="00166E15"/>
    <w:rsid w:val="001675FE"/>
    <w:rsid w:val="00170569"/>
    <w:rsid w:val="001766A2"/>
    <w:rsid w:val="00177FB8"/>
    <w:rsid w:val="001813AC"/>
    <w:rsid w:val="00181426"/>
    <w:rsid w:val="00185538"/>
    <w:rsid w:val="001860E1"/>
    <w:rsid w:val="001938EF"/>
    <w:rsid w:val="001941D0"/>
    <w:rsid w:val="001947D5"/>
    <w:rsid w:val="00196545"/>
    <w:rsid w:val="001A11EC"/>
    <w:rsid w:val="001A63EB"/>
    <w:rsid w:val="001A68E1"/>
    <w:rsid w:val="001B01F2"/>
    <w:rsid w:val="001B0FA5"/>
    <w:rsid w:val="001B4E31"/>
    <w:rsid w:val="001B503A"/>
    <w:rsid w:val="001C167A"/>
    <w:rsid w:val="001C44A1"/>
    <w:rsid w:val="001C7187"/>
    <w:rsid w:val="001C7454"/>
    <w:rsid w:val="001D05DB"/>
    <w:rsid w:val="001D29F3"/>
    <w:rsid w:val="001D3360"/>
    <w:rsid w:val="001D61D6"/>
    <w:rsid w:val="001D66E0"/>
    <w:rsid w:val="001D67DC"/>
    <w:rsid w:val="001E44A2"/>
    <w:rsid w:val="001E7E73"/>
    <w:rsid w:val="001F0660"/>
    <w:rsid w:val="002006E7"/>
    <w:rsid w:val="00203258"/>
    <w:rsid w:val="002070DC"/>
    <w:rsid w:val="002075BA"/>
    <w:rsid w:val="0021134C"/>
    <w:rsid w:val="00212E1E"/>
    <w:rsid w:val="00222678"/>
    <w:rsid w:val="00223984"/>
    <w:rsid w:val="00223E22"/>
    <w:rsid w:val="002257E7"/>
    <w:rsid w:val="00227A5F"/>
    <w:rsid w:val="00231547"/>
    <w:rsid w:val="00234D1B"/>
    <w:rsid w:val="0023529C"/>
    <w:rsid w:val="00236F89"/>
    <w:rsid w:val="00244F9B"/>
    <w:rsid w:val="00252592"/>
    <w:rsid w:val="002532CE"/>
    <w:rsid w:val="0025496D"/>
    <w:rsid w:val="00255275"/>
    <w:rsid w:val="002577DF"/>
    <w:rsid w:val="002643EA"/>
    <w:rsid w:val="00264E64"/>
    <w:rsid w:val="00276873"/>
    <w:rsid w:val="00280818"/>
    <w:rsid w:val="002817CF"/>
    <w:rsid w:val="00281AA6"/>
    <w:rsid w:val="00283A59"/>
    <w:rsid w:val="0029235C"/>
    <w:rsid w:val="00293149"/>
    <w:rsid w:val="00297D73"/>
    <w:rsid w:val="002A3E18"/>
    <w:rsid w:val="002B0233"/>
    <w:rsid w:val="002B170A"/>
    <w:rsid w:val="002B409C"/>
    <w:rsid w:val="002C3914"/>
    <w:rsid w:val="002C3BA8"/>
    <w:rsid w:val="002D144B"/>
    <w:rsid w:val="002D3592"/>
    <w:rsid w:val="002D4F6D"/>
    <w:rsid w:val="002E0A8B"/>
    <w:rsid w:val="002E15BB"/>
    <w:rsid w:val="002E16F6"/>
    <w:rsid w:val="002E6855"/>
    <w:rsid w:val="002F300C"/>
    <w:rsid w:val="002F71D1"/>
    <w:rsid w:val="00303D88"/>
    <w:rsid w:val="00303E29"/>
    <w:rsid w:val="00305130"/>
    <w:rsid w:val="003114BC"/>
    <w:rsid w:val="00311785"/>
    <w:rsid w:val="0031548D"/>
    <w:rsid w:val="00321AF6"/>
    <w:rsid w:val="0032461C"/>
    <w:rsid w:val="00324AEA"/>
    <w:rsid w:val="0032536B"/>
    <w:rsid w:val="003254E3"/>
    <w:rsid w:val="003270D4"/>
    <w:rsid w:val="003274BF"/>
    <w:rsid w:val="003302FB"/>
    <w:rsid w:val="00331048"/>
    <w:rsid w:val="003318B3"/>
    <w:rsid w:val="0034353F"/>
    <w:rsid w:val="00346F47"/>
    <w:rsid w:val="003477A8"/>
    <w:rsid w:val="00352A52"/>
    <w:rsid w:val="00353AE0"/>
    <w:rsid w:val="00353B22"/>
    <w:rsid w:val="00353CB8"/>
    <w:rsid w:val="003542EC"/>
    <w:rsid w:val="003549CB"/>
    <w:rsid w:val="00356F6C"/>
    <w:rsid w:val="00361A44"/>
    <w:rsid w:val="00363F7C"/>
    <w:rsid w:val="00375D18"/>
    <w:rsid w:val="00376AA9"/>
    <w:rsid w:val="00380657"/>
    <w:rsid w:val="00384A0A"/>
    <w:rsid w:val="00384A0F"/>
    <w:rsid w:val="00386907"/>
    <w:rsid w:val="00386BB9"/>
    <w:rsid w:val="0039008A"/>
    <w:rsid w:val="00392259"/>
    <w:rsid w:val="00392455"/>
    <w:rsid w:val="00392BF9"/>
    <w:rsid w:val="00393DED"/>
    <w:rsid w:val="003948A4"/>
    <w:rsid w:val="00395E15"/>
    <w:rsid w:val="00396950"/>
    <w:rsid w:val="003A566A"/>
    <w:rsid w:val="003B1B41"/>
    <w:rsid w:val="003C5830"/>
    <w:rsid w:val="003C63A0"/>
    <w:rsid w:val="003D182A"/>
    <w:rsid w:val="003D36F1"/>
    <w:rsid w:val="003D518B"/>
    <w:rsid w:val="003D5558"/>
    <w:rsid w:val="003E3640"/>
    <w:rsid w:val="003E65AB"/>
    <w:rsid w:val="003F153F"/>
    <w:rsid w:val="003F2994"/>
    <w:rsid w:val="003F3008"/>
    <w:rsid w:val="003F3B07"/>
    <w:rsid w:val="003F7E0B"/>
    <w:rsid w:val="004040FA"/>
    <w:rsid w:val="004045DA"/>
    <w:rsid w:val="00405B3A"/>
    <w:rsid w:val="00405FD4"/>
    <w:rsid w:val="0041138D"/>
    <w:rsid w:val="004132A4"/>
    <w:rsid w:val="004156B2"/>
    <w:rsid w:val="00417592"/>
    <w:rsid w:val="00417DA9"/>
    <w:rsid w:val="00417ED8"/>
    <w:rsid w:val="004208C1"/>
    <w:rsid w:val="00420E00"/>
    <w:rsid w:val="004249D5"/>
    <w:rsid w:val="00427BAD"/>
    <w:rsid w:val="004306A1"/>
    <w:rsid w:val="00434165"/>
    <w:rsid w:val="00435E60"/>
    <w:rsid w:val="004402D5"/>
    <w:rsid w:val="00444322"/>
    <w:rsid w:val="00444832"/>
    <w:rsid w:val="00447350"/>
    <w:rsid w:val="00447851"/>
    <w:rsid w:val="00453468"/>
    <w:rsid w:val="00455B61"/>
    <w:rsid w:val="00462A17"/>
    <w:rsid w:val="0046390C"/>
    <w:rsid w:val="0046622B"/>
    <w:rsid w:val="004704D0"/>
    <w:rsid w:val="00472907"/>
    <w:rsid w:val="00481CE2"/>
    <w:rsid w:val="00483774"/>
    <w:rsid w:val="00484F88"/>
    <w:rsid w:val="004872B8"/>
    <w:rsid w:val="0049019F"/>
    <w:rsid w:val="004953E5"/>
    <w:rsid w:val="00495F5D"/>
    <w:rsid w:val="004A34B0"/>
    <w:rsid w:val="004A5DA5"/>
    <w:rsid w:val="004B2CF7"/>
    <w:rsid w:val="004B4941"/>
    <w:rsid w:val="004C3B0F"/>
    <w:rsid w:val="004C4DDA"/>
    <w:rsid w:val="004C4DF0"/>
    <w:rsid w:val="004D0ACC"/>
    <w:rsid w:val="004D1EE6"/>
    <w:rsid w:val="004D3BDE"/>
    <w:rsid w:val="004D68C2"/>
    <w:rsid w:val="004D7C0E"/>
    <w:rsid w:val="004E0976"/>
    <w:rsid w:val="004E3020"/>
    <w:rsid w:val="004E5913"/>
    <w:rsid w:val="004E7AC9"/>
    <w:rsid w:val="004E7FAA"/>
    <w:rsid w:val="004F072F"/>
    <w:rsid w:val="004F1096"/>
    <w:rsid w:val="004F425E"/>
    <w:rsid w:val="004F6F4C"/>
    <w:rsid w:val="00501339"/>
    <w:rsid w:val="0050395D"/>
    <w:rsid w:val="0050676B"/>
    <w:rsid w:val="00510C15"/>
    <w:rsid w:val="0051397B"/>
    <w:rsid w:val="00517C48"/>
    <w:rsid w:val="00517FB2"/>
    <w:rsid w:val="00523E16"/>
    <w:rsid w:val="00527AE0"/>
    <w:rsid w:val="00531443"/>
    <w:rsid w:val="005325ED"/>
    <w:rsid w:val="0054032A"/>
    <w:rsid w:val="0054513D"/>
    <w:rsid w:val="00545BE1"/>
    <w:rsid w:val="00554140"/>
    <w:rsid w:val="00561A30"/>
    <w:rsid w:val="005622B5"/>
    <w:rsid w:val="005807D0"/>
    <w:rsid w:val="00581673"/>
    <w:rsid w:val="00583518"/>
    <w:rsid w:val="00583999"/>
    <w:rsid w:val="005841CD"/>
    <w:rsid w:val="005845A0"/>
    <w:rsid w:val="00585A2A"/>
    <w:rsid w:val="00586C40"/>
    <w:rsid w:val="00590F19"/>
    <w:rsid w:val="00592543"/>
    <w:rsid w:val="0059340C"/>
    <w:rsid w:val="0059348D"/>
    <w:rsid w:val="005A2120"/>
    <w:rsid w:val="005A2782"/>
    <w:rsid w:val="005A4BA3"/>
    <w:rsid w:val="005B3109"/>
    <w:rsid w:val="005C0EB9"/>
    <w:rsid w:val="005C1A78"/>
    <w:rsid w:val="005C24AA"/>
    <w:rsid w:val="005C2CC6"/>
    <w:rsid w:val="005C554E"/>
    <w:rsid w:val="005D1C7C"/>
    <w:rsid w:val="005D253D"/>
    <w:rsid w:val="005D5400"/>
    <w:rsid w:val="005E283D"/>
    <w:rsid w:val="005F1A47"/>
    <w:rsid w:val="005F39C7"/>
    <w:rsid w:val="005F60EB"/>
    <w:rsid w:val="005F699C"/>
    <w:rsid w:val="005F7191"/>
    <w:rsid w:val="005F7B6E"/>
    <w:rsid w:val="006005CA"/>
    <w:rsid w:val="00603DED"/>
    <w:rsid w:val="0060479E"/>
    <w:rsid w:val="00604913"/>
    <w:rsid w:val="00605D97"/>
    <w:rsid w:val="0061203A"/>
    <w:rsid w:val="00616812"/>
    <w:rsid w:val="0062240F"/>
    <w:rsid w:val="00622F8B"/>
    <w:rsid w:val="006245E9"/>
    <w:rsid w:val="0062701D"/>
    <w:rsid w:val="006307FB"/>
    <w:rsid w:val="006339FB"/>
    <w:rsid w:val="00636538"/>
    <w:rsid w:val="0064479A"/>
    <w:rsid w:val="00644B16"/>
    <w:rsid w:val="0065253E"/>
    <w:rsid w:val="00653551"/>
    <w:rsid w:val="00655513"/>
    <w:rsid w:val="00655800"/>
    <w:rsid w:val="006578E0"/>
    <w:rsid w:val="0066061D"/>
    <w:rsid w:val="0066326C"/>
    <w:rsid w:val="00663B39"/>
    <w:rsid w:val="00665560"/>
    <w:rsid w:val="006708BE"/>
    <w:rsid w:val="006712E8"/>
    <w:rsid w:val="00672149"/>
    <w:rsid w:val="0067317E"/>
    <w:rsid w:val="00674455"/>
    <w:rsid w:val="00675E44"/>
    <w:rsid w:val="00682F07"/>
    <w:rsid w:val="006833A4"/>
    <w:rsid w:val="00685860"/>
    <w:rsid w:val="006A0D4E"/>
    <w:rsid w:val="006A2E07"/>
    <w:rsid w:val="006A301D"/>
    <w:rsid w:val="006A65F6"/>
    <w:rsid w:val="006A7705"/>
    <w:rsid w:val="006C1E56"/>
    <w:rsid w:val="006D34AD"/>
    <w:rsid w:val="006D4F4C"/>
    <w:rsid w:val="006D62D2"/>
    <w:rsid w:val="006D787A"/>
    <w:rsid w:val="006D7895"/>
    <w:rsid w:val="006E4F2E"/>
    <w:rsid w:val="006E509B"/>
    <w:rsid w:val="006E7E3E"/>
    <w:rsid w:val="006F1CC8"/>
    <w:rsid w:val="006F3F9F"/>
    <w:rsid w:val="006F6749"/>
    <w:rsid w:val="00700D56"/>
    <w:rsid w:val="00702A69"/>
    <w:rsid w:val="00703B86"/>
    <w:rsid w:val="00704024"/>
    <w:rsid w:val="00705CC9"/>
    <w:rsid w:val="00710FB4"/>
    <w:rsid w:val="00713143"/>
    <w:rsid w:val="00713CAB"/>
    <w:rsid w:val="00720E73"/>
    <w:rsid w:val="00721AEC"/>
    <w:rsid w:val="00721EF7"/>
    <w:rsid w:val="0072337B"/>
    <w:rsid w:val="007244E9"/>
    <w:rsid w:val="00727BEF"/>
    <w:rsid w:val="00733509"/>
    <w:rsid w:val="00736469"/>
    <w:rsid w:val="0074671E"/>
    <w:rsid w:val="00755E72"/>
    <w:rsid w:val="00763F76"/>
    <w:rsid w:val="007645A7"/>
    <w:rsid w:val="007654F7"/>
    <w:rsid w:val="00766663"/>
    <w:rsid w:val="007700BD"/>
    <w:rsid w:val="007702BA"/>
    <w:rsid w:val="00776E0F"/>
    <w:rsid w:val="00777123"/>
    <w:rsid w:val="00777C16"/>
    <w:rsid w:val="00780441"/>
    <w:rsid w:val="00783AB6"/>
    <w:rsid w:val="00785AB0"/>
    <w:rsid w:val="007908CA"/>
    <w:rsid w:val="00797E70"/>
    <w:rsid w:val="00797FD6"/>
    <w:rsid w:val="007A06E9"/>
    <w:rsid w:val="007A749C"/>
    <w:rsid w:val="007A7FE8"/>
    <w:rsid w:val="007B0958"/>
    <w:rsid w:val="007B35A8"/>
    <w:rsid w:val="007B4EBE"/>
    <w:rsid w:val="007B6987"/>
    <w:rsid w:val="007C2B3E"/>
    <w:rsid w:val="007D1124"/>
    <w:rsid w:val="007D3D0F"/>
    <w:rsid w:val="007E06C1"/>
    <w:rsid w:val="007E3AC0"/>
    <w:rsid w:val="007E3B40"/>
    <w:rsid w:val="007E6076"/>
    <w:rsid w:val="007E7C44"/>
    <w:rsid w:val="007F259A"/>
    <w:rsid w:val="007F42C4"/>
    <w:rsid w:val="00800835"/>
    <w:rsid w:val="00801643"/>
    <w:rsid w:val="00801857"/>
    <w:rsid w:val="00801A9F"/>
    <w:rsid w:val="0080229B"/>
    <w:rsid w:val="00806B9A"/>
    <w:rsid w:val="00806CD8"/>
    <w:rsid w:val="008100AE"/>
    <w:rsid w:val="00811C94"/>
    <w:rsid w:val="00814533"/>
    <w:rsid w:val="00820BA8"/>
    <w:rsid w:val="00822638"/>
    <w:rsid w:val="00822C66"/>
    <w:rsid w:val="00825B4F"/>
    <w:rsid w:val="008261CF"/>
    <w:rsid w:val="008313A2"/>
    <w:rsid w:val="00831479"/>
    <w:rsid w:val="00840ACA"/>
    <w:rsid w:val="008454B3"/>
    <w:rsid w:val="00847FD0"/>
    <w:rsid w:val="00850645"/>
    <w:rsid w:val="00852880"/>
    <w:rsid w:val="008572EA"/>
    <w:rsid w:val="00864312"/>
    <w:rsid w:val="00866552"/>
    <w:rsid w:val="00867805"/>
    <w:rsid w:val="0086792F"/>
    <w:rsid w:val="00873807"/>
    <w:rsid w:val="00873B74"/>
    <w:rsid w:val="00873D0B"/>
    <w:rsid w:val="0087662F"/>
    <w:rsid w:val="0087680D"/>
    <w:rsid w:val="008862A2"/>
    <w:rsid w:val="00887B8C"/>
    <w:rsid w:val="008912EB"/>
    <w:rsid w:val="00895FB0"/>
    <w:rsid w:val="00897201"/>
    <w:rsid w:val="008A18E4"/>
    <w:rsid w:val="008A7D48"/>
    <w:rsid w:val="008B28CE"/>
    <w:rsid w:val="008B46E0"/>
    <w:rsid w:val="008B6062"/>
    <w:rsid w:val="008B76D3"/>
    <w:rsid w:val="008C099B"/>
    <w:rsid w:val="008C1A81"/>
    <w:rsid w:val="008C246B"/>
    <w:rsid w:val="008C37AB"/>
    <w:rsid w:val="008C651D"/>
    <w:rsid w:val="008C6B0F"/>
    <w:rsid w:val="008D3C51"/>
    <w:rsid w:val="008D3DBA"/>
    <w:rsid w:val="008D6FE9"/>
    <w:rsid w:val="008D73AF"/>
    <w:rsid w:val="008E0BA7"/>
    <w:rsid w:val="008E4476"/>
    <w:rsid w:val="008F0167"/>
    <w:rsid w:val="008F0E8E"/>
    <w:rsid w:val="008F0FE4"/>
    <w:rsid w:val="008F32E8"/>
    <w:rsid w:val="008F3E0E"/>
    <w:rsid w:val="00901B58"/>
    <w:rsid w:val="00906E5D"/>
    <w:rsid w:val="00912311"/>
    <w:rsid w:val="00912F6B"/>
    <w:rsid w:val="009141CB"/>
    <w:rsid w:val="00914A8E"/>
    <w:rsid w:val="0091572E"/>
    <w:rsid w:val="00917F69"/>
    <w:rsid w:val="0092392D"/>
    <w:rsid w:val="00930F5B"/>
    <w:rsid w:val="0093169D"/>
    <w:rsid w:val="0093260B"/>
    <w:rsid w:val="0093383D"/>
    <w:rsid w:val="0093472D"/>
    <w:rsid w:val="0093584C"/>
    <w:rsid w:val="00940284"/>
    <w:rsid w:val="0094110C"/>
    <w:rsid w:val="00941B5D"/>
    <w:rsid w:val="00942209"/>
    <w:rsid w:val="009432E8"/>
    <w:rsid w:val="009446C3"/>
    <w:rsid w:val="00944C06"/>
    <w:rsid w:val="0094578D"/>
    <w:rsid w:val="00950399"/>
    <w:rsid w:val="0095740A"/>
    <w:rsid w:val="00960E95"/>
    <w:rsid w:val="00966090"/>
    <w:rsid w:val="00967AFD"/>
    <w:rsid w:val="0097036E"/>
    <w:rsid w:val="009706D6"/>
    <w:rsid w:val="00972BED"/>
    <w:rsid w:val="00990473"/>
    <w:rsid w:val="00992274"/>
    <w:rsid w:val="00992DE7"/>
    <w:rsid w:val="00993DA6"/>
    <w:rsid w:val="009A5A1F"/>
    <w:rsid w:val="009B2619"/>
    <w:rsid w:val="009B37B6"/>
    <w:rsid w:val="009B5166"/>
    <w:rsid w:val="009D3146"/>
    <w:rsid w:val="009D4BBC"/>
    <w:rsid w:val="009D626A"/>
    <w:rsid w:val="009D7074"/>
    <w:rsid w:val="009E0E20"/>
    <w:rsid w:val="009E27BF"/>
    <w:rsid w:val="009E3370"/>
    <w:rsid w:val="009E6278"/>
    <w:rsid w:val="009F174E"/>
    <w:rsid w:val="009F39DB"/>
    <w:rsid w:val="009F42B4"/>
    <w:rsid w:val="009F56ED"/>
    <w:rsid w:val="009F6432"/>
    <w:rsid w:val="009F65B9"/>
    <w:rsid w:val="00A0040E"/>
    <w:rsid w:val="00A021A0"/>
    <w:rsid w:val="00A02B28"/>
    <w:rsid w:val="00A04452"/>
    <w:rsid w:val="00A04D21"/>
    <w:rsid w:val="00A06C73"/>
    <w:rsid w:val="00A07CBA"/>
    <w:rsid w:val="00A1402D"/>
    <w:rsid w:val="00A163F7"/>
    <w:rsid w:val="00A21D73"/>
    <w:rsid w:val="00A2415E"/>
    <w:rsid w:val="00A254A1"/>
    <w:rsid w:val="00A2779F"/>
    <w:rsid w:val="00A302CB"/>
    <w:rsid w:val="00A32C10"/>
    <w:rsid w:val="00A351A6"/>
    <w:rsid w:val="00A44F4F"/>
    <w:rsid w:val="00A50DAC"/>
    <w:rsid w:val="00A5189F"/>
    <w:rsid w:val="00A51FF1"/>
    <w:rsid w:val="00A52728"/>
    <w:rsid w:val="00A5777F"/>
    <w:rsid w:val="00A60A72"/>
    <w:rsid w:val="00A61BA0"/>
    <w:rsid w:val="00A64809"/>
    <w:rsid w:val="00A66B8D"/>
    <w:rsid w:val="00A700F9"/>
    <w:rsid w:val="00A771A5"/>
    <w:rsid w:val="00A8183B"/>
    <w:rsid w:val="00A826E1"/>
    <w:rsid w:val="00A840D6"/>
    <w:rsid w:val="00A853FB"/>
    <w:rsid w:val="00A86087"/>
    <w:rsid w:val="00A870D1"/>
    <w:rsid w:val="00A8724D"/>
    <w:rsid w:val="00A87761"/>
    <w:rsid w:val="00A91A41"/>
    <w:rsid w:val="00A95C9D"/>
    <w:rsid w:val="00A95CAE"/>
    <w:rsid w:val="00AA1557"/>
    <w:rsid w:val="00AA2944"/>
    <w:rsid w:val="00AA323D"/>
    <w:rsid w:val="00AA35EE"/>
    <w:rsid w:val="00AA4CA9"/>
    <w:rsid w:val="00AB027F"/>
    <w:rsid w:val="00AB3647"/>
    <w:rsid w:val="00AB6ECC"/>
    <w:rsid w:val="00AC0628"/>
    <w:rsid w:val="00AC2AD2"/>
    <w:rsid w:val="00AC3A67"/>
    <w:rsid w:val="00AE31DD"/>
    <w:rsid w:val="00AF0CDC"/>
    <w:rsid w:val="00AF3253"/>
    <w:rsid w:val="00AF3D37"/>
    <w:rsid w:val="00AF61FF"/>
    <w:rsid w:val="00B00B1D"/>
    <w:rsid w:val="00B02DA2"/>
    <w:rsid w:val="00B13461"/>
    <w:rsid w:val="00B13B79"/>
    <w:rsid w:val="00B14F5A"/>
    <w:rsid w:val="00B15268"/>
    <w:rsid w:val="00B175EA"/>
    <w:rsid w:val="00B17FCF"/>
    <w:rsid w:val="00B2020E"/>
    <w:rsid w:val="00B2377E"/>
    <w:rsid w:val="00B24552"/>
    <w:rsid w:val="00B30127"/>
    <w:rsid w:val="00B33189"/>
    <w:rsid w:val="00B36D9C"/>
    <w:rsid w:val="00B37721"/>
    <w:rsid w:val="00B42198"/>
    <w:rsid w:val="00B47FE0"/>
    <w:rsid w:val="00B5206D"/>
    <w:rsid w:val="00B55036"/>
    <w:rsid w:val="00B55D12"/>
    <w:rsid w:val="00B56CDD"/>
    <w:rsid w:val="00B57DDC"/>
    <w:rsid w:val="00B6544C"/>
    <w:rsid w:val="00B70718"/>
    <w:rsid w:val="00B75853"/>
    <w:rsid w:val="00B82842"/>
    <w:rsid w:val="00B84DC3"/>
    <w:rsid w:val="00BA0EEA"/>
    <w:rsid w:val="00BA5A3B"/>
    <w:rsid w:val="00BA6F84"/>
    <w:rsid w:val="00BB00FB"/>
    <w:rsid w:val="00BB291D"/>
    <w:rsid w:val="00BB317A"/>
    <w:rsid w:val="00BB7423"/>
    <w:rsid w:val="00BC0521"/>
    <w:rsid w:val="00BC11C0"/>
    <w:rsid w:val="00BC546D"/>
    <w:rsid w:val="00BD5958"/>
    <w:rsid w:val="00BE1A6D"/>
    <w:rsid w:val="00BE3A03"/>
    <w:rsid w:val="00BE4312"/>
    <w:rsid w:val="00BE44D0"/>
    <w:rsid w:val="00BF02ED"/>
    <w:rsid w:val="00BF07B7"/>
    <w:rsid w:val="00BF0C17"/>
    <w:rsid w:val="00BF0D1E"/>
    <w:rsid w:val="00BF1387"/>
    <w:rsid w:val="00BF6EE6"/>
    <w:rsid w:val="00C014F1"/>
    <w:rsid w:val="00C06AAC"/>
    <w:rsid w:val="00C1251C"/>
    <w:rsid w:val="00C15629"/>
    <w:rsid w:val="00C15E77"/>
    <w:rsid w:val="00C22255"/>
    <w:rsid w:val="00C226B5"/>
    <w:rsid w:val="00C22E7F"/>
    <w:rsid w:val="00C25995"/>
    <w:rsid w:val="00C26718"/>
    <w:rsid w:val="00C37E9A"/>
    <w:rsid w:val="00C42CE4"/>
    <w:rsid w:val="00C43EC6"/>
    <w:rsid w:val="00C52164"/>
    <w:rsid w:val="00C53786"/>
    <w:rsid w:val="00C542D9"/>
    <w:rsid w:val="00C54F34"/>
    <w:rsid w:val="00C556F3"/>
    <w:rsid w:val="00C55E98"/>
    <w:rsid w:val="00C561E6"/>
    <w:rsid w:val="00C63D9B"/>
    <w:rsid w:val="00C64EEB"/>
    <w:rsid w:val="00C6771F"/>
    <w:rsid w:val="00C7029A"/>
    <w:rsid w:val="00C7659A"/>
    <w:rsid w:val="00C76B5B"/>
    <w:rsid w:val="00C778AE"/>
    <w:rsid w:val="00C80F67"/>
    <w:rsid w:val="00C84630"/>
    <w:rsid w:val="00C85972"/>
    <w:rsid w:val="00C902EF"/>
    <w:rsid w:val="00C9379A"/>
    <w:rsid w:val="00C957BC"/>
    <w:rsid w:val="00C95F68"/>
    <w:rsid w:val="00CA2DD9"/>
    <w:rsid w:val="00CA3663"/>
    <w:rsid w:val="00CA62AB"/>
    <w:rsid w:val="00CA6858"/>
    <w:rsid w:val="00CA6DE8"/>
    <w:rsid w:val="00CA6E43"/>
    <w:rsid w:val="00CA7E2D"/>
    <w:rsid w:val="00CB1FB1"/>
    <w:rsid w:val="00CB3387"/>
    <w:rsid w:val="00CB5D9C"/>
    <w:rsid w:val="00CC149F"/>
    <w:rsid w:val="00CC1BCF"/>
    <w:rsid w:val="00CC2195"/>
    <w:rsid w:val="00CC316C"/>
    <w:rsid w:val="00CC4608"/>
    <w:rsid w:val="00CD2CC2"/>
    <w:rsid w:val="00CE2EFF"/>
    <w:rsid w:val="00CE5623"/>
    <w:rsid w:val="00CF1B0A"/>
    <w:rsid w:val="00CF7878"/>
    <w:rsid w:val="00D0087E"/>
    <w:rsid w:val="00D00E76"/>
    <w:rsid w:val="00D0465A"/>
    <w:rsid w:val="00D07162"/>
    <w:rsid w:val="00D1184A"/>
    <w:rsid w:val="00D11F5D"/>
    <w:rsid w:val="00D1305A"/>
    <w:rsid w:val="00D16C65"/>
    <w:rsid w:val="00D20043"/>
    <w:rsid w:val="00D2248D"/>
    <w:rsid w:val="00D2366F"/>
    <w:rsid w:val="00D23A77"/>
    <w:rsid w:val="00D24096"/>
    <w:rsid w:val="00D26904"/>
    <w:rsid w:val="00D26CA8"/>
    <w:rsid w:val="00D27192"/>
    <w:rsid w:val="00D30FC7"/>
    <w:rsid w:val="00D32D75"/>
    <w:rsid w:val="00D40124"/>
    <w:rsid w:val="00D4411E"/>
    <w:rsid w:val="00D4482B"/>
    <w:rsid w:val="00D46638"/>
    <w:rsid w:val="00D53D0D"/>
    <w:rsid w:val="00D53FF1"/>
    <w:rsid w:val="00D56737"/>
    <w:rsid w:val="00D601E6"/>
    <w:rsid w:val="00D651D9"/>
    <w:rsid w:val="00D667BC"/>
    <w:rsid w:val="00D67764"/>
    <w:rsid w:val="00D77A2F"/>
    <w:rsid w:val="00D83DD5"/>
    <w:rsid w:val="00D85C30"/>
    <w:rsid w:val="00D87371"/>
    <w:rsid w:val="00D92B6F"/>
    <w:rsid w:val="00D93240"/>
    <w:rsid w:val="00D9370D"/>
    <w:rsid w:val="00D9420C"/>
    <w:rsid w:val="00D960E6"/>
    <w:rsid w:val="00D970FF"/>
    <w:rsid w:val="00D97A31"/>
    <w:rsid w:val="00DA189A"/>
    <w:rsid w:val="00DA27BF"/>
    <w:rsid w:val="00DA4EFB"/>
    <w:rsid w:val="00DA6942"/>
    <w:rsid w:val="00DA7208"/>
    <w:rsid w:val="00DA7373"/>
    <w:rsid w:val="00DB098D"/>
    <w:rsid w:val="00DB20E4"/>
    <w:rsid w:val="00DB6AFF"/>
    <w:rsid w:val="00DC0C7D"/>
    <w:rsid w:val="00DC0F5F"/>
    <w:rsid w:val="00DC2E4F"/>
    <w:rsid w:val="00DC40B0"/>
    <w:rsid w:val="00DD41AA"/>
    <w:rsid w:val="00DD6174"/>
    <w:rsid w:val="00DE200C"/>
    <w:rsid w:val="00DE3B68"/>
    <w:rsid w:val="00DE5C1C"/>
    <w:rsid w:val="00DE691D"/>
    <w:rsid w:val="00DF13B9"/>
    <w:rsid w:val="00DF24EB"/>
    <w:rsid w:val="00DF457F"/>
    <w:rsid w:val="00DF561D"/>
    <w:rsid w:val="00DF72E4"/>
    <w:rsid w:val="00DF764D"/>
    <w:rsid w:val="00E00B0D"/>
    <w:rsid w:val="00E0109D"/>
    <w:rsid w:val="00E02271"/>
    <w:rsid w:val="00E064F9"/>
    <w:rsid w:val="00E07C1F"/>
    <w:rsid w:val="00E11908"/>
    <w:rsid w:val="00E14DB1"/>
    <w:rsid w:val="00E15818"/>
    <w:rsid w:val="00E17825"/>
    <w:rsid w:val="00E2238F"/>
    <w:rsid w:val="00E2370B"/>
    <w:rsid w:val="00E2400F"/>
    <w:rsid w:val="00E25ACA"/>
    <w:rsid w:val="00E31A10"/>
    <w:rsid w:val="00E337E2"/>
    <w:rsid w:val="00E37A57"/>
    <w:rsid w:val="00E433BA"/>
    <w:rsid w:val="00E4597F"/>
    <w:rsid w:val="00E53D88"/>
    <w:rsid w:val="00E56079"/>
    <w:rsid w:val="00E57AE6"/>
    <w:rsid w:val="00E664CB"/>
    <w:rsid w:val="00E7070F"/>
    <w:rsid w:val="00E70E5D"/>
    <w:rsid w:val="00E73493"/>
    <w:rsid w:val="00E803EF"/>
    <w:rsid w:val="00E83C58"/>
    <w:rsid w:val="00E8602F"/>
    <w:rsid w:val="00E90C7C"/>
    <w:rsid w:val="00E926B6"/>
    <w:rsid w:val="00E9328D"/>
    <w:rsid w:val="00E93B6B"/>
    <w:rsid w:val="00E94E78"/>
    <w:rsid w:val="00E95513"/>
    <w:rsid w:val="00E957A9"/>
    <w:rsid w:val="00E9755C"/>
    <w:rsid w:val="00EA0AB1"/>
    <w:rsid w:val="00EA411F"/>
    <w:rsid w:val="00EA4DDB"/>
    <w:rsid w:val="00EA60F7"/>
    <w:rsid w:val="00EB1F0E"/>
    <w:rsid w:val="00EB2DF6"/>
    <w:rsid w:val="00EB33C2"/>
    <w:rsid w:val="00EB54E5"/>
    <w:rsid w:val="00EB57C9"/>
    <w:rsid w:val="00EB623B"/>
    <w:rsid w:val="00EB7792"/>
    <w:rsid w:val="00EB7B89"/>
    <w:rsid w:val="00EC1623"/>
    <w:rsid w:val="00EC236B"/>
    <w:rsid w:val="00EC5498"/>
    <w:rsid w:val="00EC722C"/>
    <w:rsid w:val="00ED2A92"/>
    <w:rsid w:val="00EE269F"/>
    <w:rsid w:val="00EE6B98"/>
    <w:rsid w:val="00EF0089"/>
    <w:rsid w:val="00EF2818"/>
    <w:rsid w:val="00EF7BD0"/>
    <w:rsid w:val="00F02D16"/>
    <w:rsid w:val="00F03A65"/>
    <w:rsid w:val="00F06ADB"/>
    <w:rsid w:val="00F10E33"/>
    <w:rsid w:val="00F15BA4"/>
    <w:rsid w:val="00F16269"/>
    <w:rsid w:val="00F2326C"/>
    <w:rsid w:val="00F233BD"/>
    <w:rsid w:val="00F2421D"/>
    <w:rsid w:val="00F256F4"/>
    <w:rsid w:val="00F324CD"/>
    <w:rsid w:val="00F32F72"/>
    <w:rsid w:val="00F33086"/>
    <w:rsid w:val="00F35110"/>
    <w:rsid w:val="00F36EE6"/>
    <w:rsid w:val="00F374A3"/>
    <w:rsid w:val="00F42109"/>
    <w:rsid w:val="00F4280C"/>
    <w:rsid w:val="00F50AB1"/>
    <w:rsid w:val="00F5534A"/>
    <w:rsid w:val="00F561E6"/>
    <w:rsid w:val="00F57581"/>
    <w:rsid w:val="00F57F8D"/>
    <w:rsid w:val="00F601BC"/>
    <w:rsid w:val="00F609A3"/>
    <w:rsid w:val="00F706EE"/>
    <w:rsid w:val="00F72877"/>
    <w:rsid w:val="00F728EA"/>
    <w:rsid w:val="00F75343"/>
    <w:rsid w:val="00F815C9"/>
    <w:rsid w:val="00F8252F"/>
    <w:rsid w:val="00F83809"/>
    <w:rsid w:val="00F84025"/>
    <w:rsid w:val="00F84CBE"/>
    <w:rsid w:val="00F86E03"/>
    <w:rsid w:val="00F879EE"/>
    <w:rsid w:val="00F90A7D"/>
    <w:rsid w:val="00F919AB"/>
    <w:rsid w:val="00F91D3F"/>
    <w:rsid w:val="00FA17DD"/>
    <w:rsid w:val="00FA3339"/>
    <w:rsid w:val="00FA3651"/>
    <w:rsid w:val="00FA4EA8"/>
    <w:rsid w:val="00FB0755"/>
    <w:rsid w:val="00FC01E2"/>
    <w:rsid w:val="00FC0DBF"/>
    <w:rsid w:val="00FD228F"/>
    <w:rsid w:val="00FD2B5A"/>
    <w:rsid w:val="00FD6E05"/>
    <w:rsid w:val="00FE03CA"/>
    <w:rsid w:val="00FE3A88"/>
    <w:rsid w:val="00FE7353"/>
    <w:rsid w:val="00FE7E34"/>
    <w:rsid w:val="00FF5902"/>
    <w:rsid w:val="00FF5B51"/>
    <w:rsid w:val="00FF6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1E6"/>
    <w:pPr>
      <w:widowControl w:val="0"/>
      <w:autoSpaceDE w:val="0"/>
      <w:autoSpaceDN w:val="0"/>
      <w:adjustRightInd w:val="0"/>
    </w:pPr>
    <w:rPr>
      <w:rFonts w:ascii="A" w:hAnsi="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rsid w:val="00D601E6"/>
    <w:pPr>
      <w:widowControl w:val="0"/>
      <w:autoSpaceDE w:val="0"/>
      <w:autoSpaceDN w:val="0"/>
      <w:adjustRightInd w:val="0"/>
    </w:pPr>
    <w:rPr>
      <w:rFonts w:ascii="S" w:hAnsi="S" w:cs="S"/>
    </w:rPr>
  </w:style>
  <w:style w:type="paragraph" w:styleId="Bezodstpw">
    <w:name w:val="No Spacing"/>
    <w:uiPriority w:val="1"/>
    <w:qFormat/>
    <w:rsid w:val="00025B8B"/>
    <w:pPr>
      <w:widowControl w:val="0"/>
      <w:autoSpaceDE w:val="0"/>
      <w:autoSpaceDN w:val="0"/>
      <w:adjustRightInd w:val="0"/>
    </w:pPr>
    <w:rPr>
      <w:rFonts w:ascii="A" w:hAnsi="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5B8B"/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25B8B"/>
    <w:rPr>
      <w:rFonts w:ascii="A" w:hAnsi="A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25B8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20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A720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792F"/>
    <w:pPr>
      <w:widowControl/>
      <w:autoSpaceDE/>
      <w:autoSpaceDN/>
      <w:adjustRightInd/>
      <w:spacing w:before="105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226B5"/>
    <w:pPr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26B5"/>
    <w:pPr>
      <w:widowControl/>
      <w:tabs>
        <w:tab w:val="center" w:pos="4536"/>
        <w:tab w:val="right" w:pos="9072"/>
      </w:tabs>
      <w:autoSpaceDE/>
      <w:autoSpaceDN/>
      <w:adjustRightInd/>
      <w:jc w:val="both"/>
    </w:pPr>
    <w:rPr>
      <w:rFonts w:ascii="Calibri" w:hAnsi="Calibri"/>
      <w:lang w:eastAsia="en-US"/>
    </w:rPr>
  </w:style>
  <w:style w:type="character" w:customStyle="1" w:styleId="NagwekZnak">
    <w:name w:val="Nagłówek Znak"/>
    <w:link w:val="Nagwek"/>
    <w:uiPriority w:val="99"/>
    <w:locked/>
    <w:rsid w:val="00C226B5"/>
    <w:rPr>
      <w:rFonts w:ascii="Calibri" w:hAnsi="Calibri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226B5"/>
    <w:pPr>
      <w:widowControl/>
      <w:tabs>
        <w:tab w:val="center" w:pos="4536"/>
        <w:tab w:val="right" w:pos="9072"/>
      </w:tabs>
      <w:autoSpaceDE/>
      <w:autoSpaceDN/>
      <w:adjustRightInd/>
      <w:jc w:val="both"/>
    </w:pPr>
    <w:rPr>
      <w:rFonts w:ascii="Calibri" w:hAnsi="Calibri"/>
      <w:lang w:eastAsia="en-US"/>
    </w:rPr>
  </w:style>
  <w:style w:type="character" w:customStyle="1" w:styleId="StopkaZnak">
    <w:name w:val="Stopka Znak"/>
    <w:link w:val="Stopka"/>
    <w:uiPriority w:val="99"/>
    <w:locked/>
    <w:rsid w:val="00C226B5"/>
    <w:rPr>
      <w:rFonts w:ascii="Calibri" w:hAnsi="Calibri" w:cs="Times New Roman"/>
      <w:lang w:eastAsia="en-US"/>
    </w:rPr>
  </w:style>
  <w:style w:type="character" w:styleId="Odwoaniedokomentarza">
    <w:name w:val="annotation reference"/>
    <w:uiPriority w:val="99"/>
    <w:semiHidden/>
    <w:unhideWhenUsed/>
    <w:rsid w:val="00EB623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23B"/>
  </w:style>
  <w:style w:type="character" w:customStyle="1" w:styleId="TekstkomentarzaZnak">
    <w:name w:val="Tekst komentarza Znak"/>
    <w:link w:val="Tekstkomentarza"/>
    <w:uiPriority w:val="99"/>
    <w:semiHidden/>
    <w:locked/>
    <w:rsid w:val="00EB623B"/>
    <w:rPr>
      <w:rFonts w:ascii="A" w:hAnsi="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2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B623B"/>
    <w:rPr>
      <w:rFonts w:ascii="A" w:hAnsi="A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50AB1"/>
    <w:rPr>
      <w:rFonts w:ascii="A" w:hAnsi="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1E6"/>
    <w:pPr>
      <w:widowControl w:val="0"/>
      <w:autoSpaceDE w:val="0"/>
      <w:autoSpaceDN w:val="0"/>
      <w:adjustRightInd w:val="0"/>
    </w:pPr>
    <w:rPr>
      <w:rFonts w:ascii="A" w:hAnsi="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rsid w:val="00D601E6"/>
    <w:pPr>
      <w:widowControl w:val="0"/>
      <w:autoSpaceDE w:val="0"/>
      <w:autoSpaceDN w:val="0"/>
      <w:adjustRightInd w:val="0"/>
    </w:pPr>
    <w:rPr>
      <w:rFonts w:ascii="S" w:hAnsi="S" w:cs="S"/>
    </w:rPr>
  </w:style>
  <w:style w:type="paragraph" w:styleId="Bezodstpw">
    <w:name w:val="No Spacing"/>
    <w:uiPriority w:val="1"/>
    <w:qFormat/>
    <w:rsid w:val="00025B8B"/>
    <w:pPr>
      <w:widowControl w:val="0"/>
      <w:autoSpaceDE w:val="0"/>
      <w:autoSpaceDN w:val="0"/>
      <w:adjustRightInd w:val="0"/>
    </w:pPr>
    <w:rPr>
      <w:rFonts w:ascii="A" w:hAnsi="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5B8B"/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25B8B"/>
    <w:rPr>
      <w:rFonts w:ascii="A" w:hAnsi="A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25B8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20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A720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792F"/>
    <w:pPr>
      <w:widowControl/>
      <w:autoSpaceDE/>
      <w:autoSpaceDN/>
      <w:adjustRightInd/>
      <w:spacing w:before="105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226B5"/>
    <w:pPr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26B5"/>
    <w:pPr>
      <w:widowControl/>
      <w:tabs>
        <w:tab w:val="center" w:pos="4536"/>
        <w:tab w:val="right" w:pos="9072"/>
      </w:tabs>
      <w:autoSpaceDE/>
      <w:autoSpaceDN/>
      <w:adjustRightInd/>
      <w:jc w:val="both"/>
    </w:pPr>
    <w:rPr>
      <w:rFonts w:ascii="Calibri" w:hAnsi="Calibri"/>
      <w:lang w:eastAsia="en-US"/>
    </w:rPr>
  </w:style>
  <w:style w:type="character" w:customStyle="1" w:styleId="NagwekZnak">
    <w:name w:val="Nagłówek Znak"/>
    <w:link w:val="Nagwek"/>
    <w:uiPriority w:val="99"/>
    <w:locked/>
    <w:rsid w:val="00C226B5"/>
    <w:rPr>
      <w:rFonts w:ascii="Calibri" w:hAnsi="Calibri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226B5"/>
    <w:pPr>
      <w:widowControl/>
      <w:tabs>
        <w:tab w:val="center" w:pos="4536"/>
        <w:tab w:val="right" w:pos="9072"/>
      </w:tabs>
      <w:autoSpaceDE/>
      <w:autoSpaceDN/>
      <w:adjustRightInd/>
      <w:jc w:val="both"/>
    </w:pPr>
    <w:rPr>
      <w:rFonts w:ascii="Calibri" w:hAnsi="Calibri"/>
      <w:lang w:eastAsia="en-US"/>
    </w:rPr>
  </w:style>
  <w:style w:type="character" w:customStyle="1" w:styleId="StopkaZnak">
    <w:name w:val="Stopka Znak"/>
    <w:link w:val="Stopka"/>
    <w:uiPriority w:val="99"/>
    <w:locked/>
    <w:rsid w:val="00C226B5"/>
    <w:rPr>
      <w:rFonts w:ascii="Calibri" w:hAnsi="Calibri" w:cs="Times New Roman"/>
      <w:lang w:eastAsia="en-US"/>
    </w:rPr>
  </w:style>
  <w:style w:type="character" w:styleId="Odwoaniedokomentarza">
    <w:name w:val="annotation reference"/>
    <w:uiPriority w:val="99"/>
    <w:semiHidden/>
    <w:unhideWhenUsed/>
    <w:rsid w:val="00EB623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23B"/>
  </w:style>
  <w:style w:type="character" w:customStyle="1" w:styleId="TekstkomentarzaZnak">
    <w:name w:val="Tekst komentarza Znak"/>
    <w:link w:val="Tekstkomentarza"/>
    <w:uiPriority w:val="99"/>
    <w:semiHidden/>
    <w:locked/>
    <w:rsid w:val="00EB623B"/>
    <w:rPr>
      <w:rFonts w:ascii="A" w:hAnsi="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2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B623B"/>
    <w:rPr>
      <w:rFonts w:ascii="A" w:hAnsi="A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50AB1"/>
    <w:rPr>
      <w:rFonts w:ascii="A" w:hAnsi="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0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D84AF-DCAE-4B07-8759-8AF97B8E9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1723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rozporządzenia</vt:lpstr>
    </vt:vector>
  </TitlesOfParts>
  <Company>Microsoft</Company>
  <LinksUpToDate>false</LinksUpToDate>
  <CharactersWithSpaces>12042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</dc:title>
  <dc:creator>Bogusław Bossowski</dc:creator>
  <cp:lastModifiedBy>Babiak Agnieszka</cp:lastModifiedBy>
  <cp:revision>2</cp:revision>
  <cp:lastPrinted>2015-05-06T11:08:00Z</cp:lastPrinted>
  <dcterms:created xsi:type="dcterms:W3CDTF">2020-07-24T13:43:00Z</dcterms:created>
  <dcterms:modified xsi:type="dcterms:W3CDTF">2020-07-24T13:43:00Z</dcterms:modified>
</cp:coreProperties>
</file>