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6471D" w14:textId="77777777" w:rsidR="00D72DE3" w:rsidRPr="0005069D" w:rsidRDefault="00D72DE3" w:rsidP="0005069D">
      <w:pPr>
        <w:spacing w:before="120" w:after="120" w:line="360" w:lineRule="auto"/>
        <w:jc w:val="both"/>
        <w:rPr>
          <w:u w:val="single"/>
        </w:rPr>
      </w:pPr>
    </w:p>
    <w:p w14:paraId="0937CDB7" w14:textId="3FC286F1" w:rsidR="00187332" w:rsidRDefault="00D72DE3" w:rsidP="0005069D">
      <w:pPr>
        <w:spacing w:before="120" w:after="120" w:line="360" w:lineRule="auto"/>
        <w:jc w:val="center"/>
        <w:rPr>
          <w:b/>
        </w:rPr>
      </w:pPr>
      <w:r w:rsidRPr="0005069D">
        <w:rPr>
          <w:b/>
        </w:rPr>
        <w:t>UZASADNIENIE</w:t>
      </w:r>
    </w:p>
    <w:p w14:paraId="24BF9C53" w14:textId="77777777" w:rsidR="0005069D" w:rsidRDefault="0005069D" w:rsidP="0005069D">
      <w:pPr>
        <w:spacing w:before="120" w:after="120" w:line="360" w:lineRule="auto"/>
        <w:jc w:val="center"/>
        <w:rPr>
          <w:b/>
        </w:rPr>
      </w:pPr>
    </w:p>
    <w:p w14:paraId="11AE78D8" w14:textId="77777777" w:rsidR="0005069D" w:rsidRPr="0005069D" w:rsidRDefault="0005069D" w:rsidP="0005069D">
      <w:pPr>
        <w:spacing w:before="120" w:after="120" w:line="360" w:lineRule="auto"/>
        <w:jc w:val="center"/>
      </w:pPr>
    </w:p>
    <w:p w14:paraId="3E304554" w14:textId="139627E8" w:rsidR="00CD55F0" w:rsidRPr="0005069D" w:rsidRDefault="00CD55F0" w:rsidP="00E6195F">
      <w:pPr>
        <w:tabs>
          <w:tab w:val="left" w:pos="567"/>
        </w:tabs>
        <w:autoSpaceDE w:val="0"/>
        <w:autoSpaceDN w:val="0"/>
        <w:adjustRightInd w:val="0"/>
        <w:spacing w:before="120" w:after="120" w:line="360" w:lineRule="auto"/>
        <w:jc w:val="both"/>
      </w:pPr>
      <w:r w:rsidRPr="0005069D">
        <w:rPr>
          <w:b/>
          <w:bCs/>
        </w:rPr>
        <w:t>I.</w:t>
      </w:r>
      <w:r w:rsidR="000C3BEF">
        <w:rPr>
          <w:b/>
          <w:bCs/>
        </w:rPr>
        <w:tab/>
      </w:r>
      <w:r w:rsidRPr="0005069D">
        <w:rPr>
          <w:b/>
          <w:bCs/>
        </w:rPr>
        <w:t>Potrzeba i cel wydania rozporządzenia</w:t>
      </w:r>
    </w:p>
    <w:p w14:paraId="1CDF041F" w14:textId="2C6890C3" w:rsidR="0005069D" w:rsidRDefault="0005069D" w:rsidP="0005069D">
      <w:pPr>
        <w:spacing w:before="120" w:after="120" w:line="360" w:lineRule="auto"/>
        <w:jc w:val="both"/>
        <w:rPr>
          <w:color w:val="000000"/>
        </w:rPr>
      </w:pPr>
      <w:r w:rsidRPr="006752CB">
        <w:t>Rzeczpospolita Polska będąca członkiem</w:t>
      </w:r>
      <w:r w:rsidR="00E876A8" w:rsidRPr="00E876A8">
        <w:rPr>
          <w:rFonts w:eastAsiaTheme="minorEastAsia" w:cs="Arial"/>
          <w:szCs w:val="20"/>
        </w:rPr>
        <w:t xml:space="preserve"> </w:t>
      </w:r>
      <w:r w:rsidR="00E876A8" w:rsidRPr="00E876A8">
        <w:t>Organizacj</w:t>
      </w:r>
      <w:r w:rsidR="00E876A8">
        <w:t>i</w:t>
      </w:r>
      <w:r w:rsidR="00E876A8" w:rsidRPr="00E876A8">
        <w:t xml:space="preserve"> Międzynarodowego Lotnictwa Cywilnego</w:t>
      </w:r>
      <w:r w:rsidR="00E876A8">
        <w:t>, zwanej dalej „</w:t>
      </w:r>
      <w:r w:rsidRPr="006752CB">
        <w:t>ICAO</w:t>
      </w:r>
      <w:r w:rsidR="00E876A8">
        <w:t>”</w:t>
      </w:r>
      <w:r w:rsidRPr="006752CB">
        <w:t xml:space="preserve">, jest obowiązana do </w:t>
      </w:r>
      <w:r w:rsidRPr="006752CB">
        <w:rPr>
          <w:color w:val="000000"/>
        </w:rPr>
        <w:t>zapewnienia najwyższego możliwego w praktyce ujednolicenia przepi</w:t>
      </w:r>
      <w:r>
        <w:rPr>
          <w:color w:val="000000"/>
        </w:rPr>
        <w:t xml:space="preserve">sów, norm, </w:t>
      </w:r>
      <w:r w:rsidR="00C513AB">
        <w:rPr>
          <w:color w:val="000000"/>
        </w:rPr>
        <w:t xml:space="preserve">zasad </w:t>
      </w:r>
      <w:r>
        <w:rPr>
          <w:color w:val="000000"/>
        </w:rPr>
        <w:t xml:space="preserve">postępowania i </w:t>
      </w:r>
      <w:r w:rsidRPr="006752CB">
        <w:rPr>
          <w:color w:val="000000"/>
        </w:rPr>
        <w:t>organizacji w</w:t>
      </w:r>
      <w:r w:rsidR="00E876A8">
        <w:rPr>
          <w:color w:val="000000"/>
        </w:rPr>
        <w:t xml:space="preserve"> </w:t>
      </w:r>
      <w:r w:rsidRPr="006752CB">
        <w:rPr>
          <w:color w:val="000000"/>
        </w:rPr>
        <w:t xml:space="preserve">odniesieniu do statków powietrznych, personelu, dróg lotniczych i służb pomocniczych we wszelkich przypadkach, w których takie ujednolicenie może </w:t>
      </w:r>
      <w:r>
        <w:rPr>
          <w:color w:val="000000"/>
        </w:rPr>
        <w:t xml:space="preserve">ułatwić i </w:t>
      </w:r>
      <w:r w:rsidRPr="006752CB">
        <w:rPr>
          <w:color w:val="000000"/>
        </w:rPr>
        <w:t>ulepszyć żeglugę powietrzną.</w:t>
      </w:r>
    </w:p>
    <w:p w14:paraId="3C3A5463" w14:textId="42865651" w:rsidR="00CD55F0" w:rsidRPr="0005069D" w:rsidRDefault="0005069D" w:rsidP="0005069D">
      <w:pPr>
        <w:spacing w:before="120" w:after="120" w:line="360" w:lineRule="auto"/>
        <w:jc w:val="both"/>
        <w:rPr>
          <w:color w:val="000000"/>
        </w:rPr>
      </w:pPr>
      <w:r>
        <w:rPr>
          <w:color w:val="000000"/>
        </w:rPr>
        <w:t>Zagadnienie</w:t>
      </w:r>
      <w:r w:rsidRPr="0005069D">
        <w:t xml:space="preserve"> procedur lotu oraz procedur służb żeglugi powietrznej</w:t>
      </w:r>
      <w:r>
        <w:t xml:space="preserve"> </w:t>
      </w:r>
      <w:r w:rsidR="00CD55F0" w:rsidRPr="0005069D">
        <w:t>regulują dwa dokumenty wydane przez ICAO:</w:t>
      </w:r>
      <w:r w:rsidR="006752CB">
        <w:t xml:space="preserve"> </w:t>
      </w:r>
      <w:r w:rsidR="006752CB" w:rsidRPr="006144E4">
        <w:rPr>
          <w:bCs/>
        </w:rPr>
        <w:t>Procedury</w:t>
      </w:r>
      <w:r w:rsidR="006752CB" w:rsidRPr="006144E4">
        <w:t xml:space="preserve"> Służb Żeglugi Powietrznej </w:t>
      </w:r>
      <w:r w:rsidRPr="0005069D">
        <w:t>–</w:t>
      </w:r>
      <w:r w:rsidR="006752CB" w:rsidRPr="006144E4">
        <w:t xml:space="preserve"> Operacje Statków Powietrznych (Doc 8168) (PANS-OPS)</w:t>
      </w:r>
      <w:r w:rsidR="006752CB">
        <w:t xml:space="preserve"> oraz </w:t>
      </w:r>
      <w:r w:rsidR="006752CB" w:rsidRPr="006752CB">
        <w:t>Podręcznik zapewni</w:t>
      </w:r>
      <w:r w:rsidR="00E876A8">
        <w:t>a</w:t>
      </w:r>
      <w:r w:rsidR="006752CB" w:rsidRPr="006752CB">
        <w:t>nia jakości projektowania procedur lotu (Doc 9906)</w:t>
      </w:r>
      <w:r w:rsidR="006752CB">
        <w:t>.</w:t>
      </w:r>
    </w:p>
    <w:p w14:paraId="6C48F511" w14:textId="36AA3439" w:rsidR="00302F3C" w:rsidRPr="0005069D" w:rsidRDefault="00302F3C" w:rsidP="0005069D">
      <w:pPr>
        <w:pStyle w:val="Akapitzlist"/>
        <w:spacing w:before="120" w:after="120" w:line="360" w:lineRule="auto"/>
        <w:ind w:left="0"/>
        <w:jc w:val="both"/>
        <w:rPr>
          <w:u w:val="single"/>
        </w:rPr>
      </w:pPr>
      <w:r w:rsidRPr="0005069D">
        <w:rPr>
          <w:bCs/>
          <w:u w:val="single"/>
        </w:rPr>
        <w:t xml:space="preserve">1. </w:t>
      </w:r>
      <w:r w:rsidR="00B831A9" w:rsidRPr="0005069D">
        <w:rPr>
          <w:bCs/>
          <w:u w:val="single"/>
        </w:rPr>
        <w:t>Procedury</w:t>
      </w:r>
      <w:r w:rsidR="00B831A9" w:rsidRPr="0005069D">
        <w:rPr>
          <w:u w:val="single"/>
        </w:rPr>
        <w:t xml:space="preserve"> Służb Żeglugi Powietrznej </w:t>
      </w:r>
      <w:r w:rsidR="00D52F93" w:rsidRPr="00D52F93">
        <w:rPr>
          <w:u w:val="single"/>
        </w:rPr>
        <w:t>–</w:t>
      </w:r>
      <w:r w:rsidR="00B831A9" w:rsidRPr="0005069D">
        <w:rPr>
          <w:u w:val="single"/>
        </w:rPr>
        <w:t xml:space="preserve"> Operacje Statków Powietrznych </w:t>
      </w:r>
      <w:r w:rsidR="002F6254" w:rsidRPr="0005069D">
        <w:rPr>
          <w:u w:val="single"/>
        </w:rPr>
        <w:t xml:space="preserve">(Doc 8168) </w:t>
      </w:r>
      <w:r w:rsidR="00B831A9" w:rsidRPr="0005069D">
        <w:rPr>
          <w:u w:val="single"/>
        </w:rPr>
        <w:t>(PANS-OPS)</w:t>
      </w:r>
    </w:p>
    <w:p w14:paraId="668DA0F2" w14:textId="732BF17E" w:rsidR="00B831A9" w:rsidRPr="0005069D" w:rsidRDefault="00302F3C" w:rsidP="0005069D">
      <w:pPr>
        <w:pStyle w:val="Akapitzlist"/>
        <w:spacing w:before="120" w:after="120" w:line="360" w:lineRule="auto"/>
        <w:ind w:left="0"/>
        <w:jc w:val="both"/>
      </w:pPr>
      <w:r>
        <w:t xml:space="preserve">Dokument </w:t>
      </w:r>
      <w:r w:rsidR="005E4AD2">
        <w:t>składa się z trzech tomów</w:t>
      </w:r>
      <w:r w:rsidR="00B831A9" w:rsidRPr="0005069D">
        <w:t>:</w:t>
      </w:r>
    </w:p>
    <w:p w14:paraId="62645B93" w14:textId="21299F7E" w:rsidR="00B831A9" w:rsidRPr="0005069D" w:rsidRDefault="00B334C4" w:rsidP="0005069D">
      <w:pPr>
        <w:pStyle w:val="Akapitzlist"/>
        <w:numPr>
          <w:ilvl w:val="0"/>
          <w:numId w:val="7"/>
        </w:numPr>
        <w:spacing w:before="120" w:after="120" w:line="360" w:lineRule="auto"/>
        <w:ind w:left="426"/>
        <w:jc w:val="both"/>
      </w:pPr>
      <w:r w:rsidRPr="0005069D">
        <w:t>t</w:t>
      </w:r>
      <w:r w:rsidR="00B831A9" w:rsidRPr="0005069D">
        <w:t xml:space="preserve">om I </w:t>
      </w:r>
      <w:r w:rsidR="004A0259" w:rsidRPr="0005069D">
        <w:t>–</w:t>
      </w:r>
      <w:r w:rsidR="00B831A9" w:rsidRPr="0005069D">
        <w:t xml:space="preserve"> Procedury lotu</w:t>
      </w:r>
      <w:r w:rsidR="004A0259" w:rsidRPr="0005069D">
        <w:t>,</w:t>
      </w:r>
    </w:p>
    <w:p w14:paraId="270827B1" w14:textId="77DC5725" w:rsidR="001969D1" w:rsidRPr="0005069D" w:rsidRDefault="00B334C4" w:rsidP="0005069D">
      <w:pPr>
        <w:pStyle w:val="Akapitzlist"/>
        <w:numPr>
          <w:ilvl w:val="0"/>
          <w:numId w:val="7"/>
        </w:numPr>
        <w:spacing w:before="120" w:after="120" w:line="360" w:lineRule="auto"/>
        <w:ind w:left="426"/>
        <w:jc w:val="both"/>
      </w:pPr>
      <w:r w:rsidRPr="0005069D">
        <w:t>t</w:t>
      </w:r>
      <w:r w:rsidR="00B831A9" w:rsidRPr="0005069D">
        <w:t xml:space="preserve">om II </w:t>
      </w:r>
      <w:r w:rsidR="004A0259" w:rsidRPr="0005069D">
        <w:t>–</w:t>
      </w:r>
      <w:r w:rsidR="00B831A9" w:rsidRPr="0005069D">
        <w:t xml:space="preserve"> Opracowywanie procedur lot</w:t>
      </w:r>
      <w:r w:rsidR="00E876A8">
        <w:t>u</w:t>
      </w:r>
      <w:r w:rsidR="00B831A9" w:rsidRPr="0005069D">
        <w:t xml:space="preserve"> z widocznością i według wskazań przyrządów</w:t>
      </w:r>
      <w:r w:rsidR="001969D1" w:rsidRPr="0005069D">
        <w:t>,</w:t>
      </w:r>
    </w:p>
    <w:p w14:paraId="4981FFE8" w14:textId="1CF737B3" w:rsidR="00CD55F0" w:rsidRPr="0005069D" w:rsidRDefault="00B334C4" w:rsidP="0005069D">
      <w:pPr>
        <w:pStyle w:val="Akapitzlist"/>
        <w:numPr>
          <w:ilvl w:val="0"/>
          <w:numId w:val="7"/>
        </w:numPr>
        <w:spacing w:before="120" w:after="120" w:line="360" w:lineRule="auto"/>
        <w:ind w:left="426"/>
        <w:jc w:val="both"/>
      </w:pPr>
      <w:r w:rsidRPr="006752CB">
        <w:t>tom III – Procedury operacyjne statków powietrznych</w:t>
      </w:r>
      <w:r w:rsidR="004A0259" w:rsidRPr="0005069D">
        <w:t>.</w:t>
      </w:r>
    </w:p>
    <w:p w14:paraId="619826E4" w14:textId="62E797E0" w:rsidR="007B20AA" w:rsidRPr="0005069D" w:rsidRDefault="00B831A9" w:rsidP="0005069D">
      <w:pPr>
        <w:spacing w:before="120" w:after="120" w:line="360" w:lineRule="auto"/>
        <w:jc w:val="both"/>
      </w:pPr>
      <w:r w:rsidRPr="0005069D">
        <w:t xml:space="preserve">Tom I </w:t>
      </w:r>
      <w:r w:rsidR="004A0259" w:rsidRPr="0005069D">
        <w:t>–</w:t>
      </w:r>
      <w:r w:rsidRPr="0005069D">
        <w:t xml:space="preserve"> </w:t>
      </w:r>
      <w:r w:rsidR="00CD55F0" w:rsidRPr="0005069D">
        <w:t>„</w:t>
      </w:r>
      <w:r w:rsidRPr="0005069D">
        <w:t>Procedury lotu</w:t>
      </w:r>
      <w:r w:rsidR="00CD55F0" w:rsidRPr="0005069D">
        <w:t>”</w:t>
      </w:r>
      <w:r w:rsidRPr="0005069D">
        <w:t xml:space="preserve"> </w:t>
      </w:r>
      <w:r w:rsidR="007B20AA" w:rsidRPr="0005069D">
        <w:t xml:space="preserve">zawiera szczegółowe procedury zalecone jako wytyczne dla operacyjnego personelu lotniczego. </w:t>
      </w:r>
      <w:r w:rsidR="00017010">
        <w:t>Dokument p</w:t>
      </w:r>
      <w:r w:rsidR="007B20AA" w:rsidRPr="0005069D">
        <w:t xml:space="preserve">odaje również parametry dotyczące procedur odlotu, </w:t>
      </w:r>
      <w:r w:rsidR="00534EF7">
        <w:t xml:space="preserve">dolotu, </w:t>
      </w:r>
      <w:r w:rsidR="007B20AA" w:rsidRPr="0005069D">
        <w:t>podejścia i</w:t>
      </w:r>
      <w:r w:rsidR="00E876A8">
        <w:t xml:space="preserve"> </w:t>
      </w:r>
      <w:r w:rsidR="007B20AA" w:rsidRPr="0005069D">
        <w:t>oczekiwania, procedury zmniejszania uciążliwości hałasu oraz procedury nastawiania wysokościomierzy. Przedmiotowy dokument obejmuje także kwestie dotyczące jednoczesnych operacji na równoległych lub prawie równoległych instrumentalnych drogach startowych oraz podaje kryteria do lotu po trasie. W dokumencie ustalono też procedury ustalania minimów operacyjnych lotniska, procedury do stosowania przez śmigłowce, standardowe procedury operacyjne (SOP), jak również procedury łączności fonicznej oraz procedury linii przesyłania danych łączności kontroler-pilot. Dokument podkreśla konieczność ścisłego stosowania się personelu operacyjnego i załóg do opublikowanych procedur, w celu osiągnięcia i utrzymania możliwego do przyjęcia poziomu bezpi</w:t>
      </w:r>
      <w:r w:rsidR="006E641B">
        <w:t>eczeństwa operacji lotniczych.</w:t>
      </w:r>
    </w:p>
    <w:p w14:paraId="2518E913" w14:textId="38C055C6" w:rsidR="00B831A9" w:rsidRPr="0005069D" w:rsidRDefault="00B831A9" w:rsidP="0005069D">
      <w:pPr>
        <w:spacing w:before="120" w:after="120" w:line="360" w:lineRule="auto"/>
        <w:jc w:val="both"/>
      </w:pPr>
      <w:r w:rsidRPr="0005069D">
        <w:rPr>
          <w:bCs/>
        </w:rPr>
        <w:lastRenderedPageBreak/>
        <w:t>Tom</w:t>
      </w:r>
      <w:r w:rsidRPr="0005069D">
        <w:t xml:space="preserve"> II </w:t>
      </w:r>
      <w:r w:rsidR="004A0259" w:rsidRPr="0005069D">
        <w:t>–</w:t>
      </w:r>
      <w:r w:rsidRPr="0005069D">
        <w:t xml:space="preserve"> </w:t>
      </w:r>
      <w:r w:rsidR="00CD55F0" w:rsidRPr="0005069D">
        <w:t>„</w:t>
      </w:r>
      <w:r w:rsidRPr="0005069D">
        <w:t>Opracowywanie procedur lot</w:t>
      </w:r>
      <w:r w:rsidR="00E876A8">
        <w:t>u</w:t>
      </w:r>
      <w:r w:rsidRPr="0005069D">
        <w:t xml:space="preserve"> z widocznością i według wskazań przyrządów</w:t>
      </w:r>
      <w:r w:rsidR="00CD55F0" w:rsidRPr="0005069D">
        <w:t>”</w:t>
      </w:r>
      <w:r w:rsidRPr="0005069D">
        <w:t xml:space="preserve"> zawiera wytyczne dla specjalistów opracowujących procedury i opisuje podstawowe strefy i wymagania dotyczące przewyższenia nad przeszkodami, w celu umożliwienia wykonywania bezpiecznych, regularnych lotów według wskazań przyrządów. </w:t>
      </w:r>
      <w:r w:rsidR="00017010">
        <w:t xml:space="preserve">Dokument </w:t>
      </w:r>
      <w:r w:rsidRPr="0005069D">
        <w:t>podaje podstawowe wytyczne państwom i użytkownikom oraz organizacjom tworzącym mapy podejśc</w:t>
      </w:r>
      <w:r w:rsidR="0005069D">
        <w:t>ia według wskazań przyrządów, w</w:t>
      </w:r>
      <w:r w:rsidR="00E876A8">
        <w:t xml:space="preserve"> </w:t>
      </w:r>
      <w:r w:rsidRPr="0005069D">
        <w:t>celu stosowania jednolitych praktyk na wszystkich lotniskach, na których wykonywane są procedury podejścia według wskazań przyrządów.</w:t>
      </w:r>
    </w:p>
    <w:p w14:paraId="7678EF58" w14:textId="23036D4B" w:rsidR="00B334C4" w:rsidRPr="0005069D" w:rsidRDefault="00B334C4" w:rsidP="0005069D">
      <w:pPr>
        <w:spacing w:before="120" w:after="120" w:line="360" w:lineRule="auto"/>
        <w:jc w:val="both"/>
      </w:pPr>
      <w:r w:rsidRPr="0005069D">
        <w:t xml:space="preserve">Tom III – „Procedury operacyjne statków powietrznych” </w:t>
      </w:r>
      <w:r w:rsidR="00966B1B" w:rsidRPr="0005069D">
        <w:t>opisuje procedury operacyjne zalecane jako wytyczne dla personelu operacyjnego i załogi lotniczej</w:t>
      </w:r>
      <w:r w:rsidR="001B6CE3" w:rsidRPr="0005069D">
        <w:t>.</w:t>
      </w:r>
    </w:p>
    <w:p w14:paraId="1AACE172" w14:textId="5D8FBD65" w:rsidR="00427A37" w:rsidRPr="0005069D" w:rsidRDefault="00C74800" w:rsidP="0005069D">
      <w:pPr>
        <w:spacing w:before="120" w:after="120" w:line="360" w:lineRule="auto"/>
        <w:jc w:val="both"/>
      </w:pPr>
      <w:r>
        <w:t>Wszystkie</w:t>
      </w:r>
      <w:r w:rsidR="00B334C4" w:rsidRPr="0005069D">
        <w:t xml:space="preserve"> </w:t>
      </w:r>
      <w:r w:rsidR="00B831A9" w:rsidRPr="0005069D">
        <w:t xml:space="preserve">tomy przedstawiają operacyjne metody działania </w:t>
      </w:r>
      <w:r w:rsidR="00777DA6" w:rsidRPr="0005069D">
        <w:t>wykraczające poza zakres norm i </w:t>
      </w:r>
      <w:r w:rsidR="00B831A9" w:rsidRPr="0005069D">
        <w:t xml:space="preserve">zalecanych metod postępowania, jednakże </w:t>
      </w:r>
      <w:r>
        <w:t xml:space="preserve">pożądane jest </w:t>
      </w:r>
      <w:r w:rsidR="00B831A9" w:rsidRPr="0005069D">
        <w:t>zacho</w:t>
      </w:r>
      <w:r w:rsidR="0005069D">
        <w:t>wanie jednolitości tych metod w </w:t>
      </w:r>
      <w:r w:rsidR="00B831A9" w:rsidRPr="0005069D">
        <w:t>skali międzynarodowej.</w:t>
      </w:r>
    </w:p>
    <w:p w14:paraId="4C834AFE" w14:textId="1CF18957" w:rsidR="00564397" w:rsidRPr="0005069D" w:rsidRDefault="00B831A9" w:rsidP="0005069D">
      <w:pPr>
        <w:spacing w:before="120" w:after="120" w:line="360" w:lineRule="auto"/>
        <w:jc w:val="both"/>
      </w:pPr>
      <w:r w:rsidRPr="0005069D">
        <w:t>Do projektowania procedur zgodnie z kryteriami PANS-OPS przyjmuje się normalne operacje. Za zapewnienie procedur awaryjnych dla sytuacji odbiegających od normy i awaryjnych odpowiada operator.</w:t>
      </w:r>
    </w:p>
    <w:p w14:paraId="7754CF22" w14:textId="45A767D1" w:rsidR="00302F3C" w:rsidRPr="006E641B" w:rsidRDefault="00302F3C" w:rsidP="0005069D">
      <w:pPr>
        <w:pStyle w:val="Akapitzlist"/>
        <w:spacing w:before="120" w:after="120" w:line="360" w:lineRule="auto"/>
        <w:ind w:left="0"/>
        <w:jc w:val="both"/>
        <w:rPr>
          <w:u w:val="single"/>
        </w:rPr>
      </w:pPr>
      <w:r w:rsidRPr="0005069D">
        <w:rPr>
          <w:u w:val="single"/>
        </w:rPr>
        <w:t xml:space="preserve">2. </w:t>
      </w:r>
      <w:r w:rsidR="00B334C4" w:rsidRPr="0005069D">
        <w:rPr>
          <w:u w:val="single"/>
        </w:rPr>
        <w:t xml:space="preserve">Podręcznik </w:t>
      </w:r>
      <w:r w:rsidR="00E876A8" w:rsidRPr="0005069D">
        <w:rPr>
          <w:u w:val="single"/>
        </w:rPr>
        <w:t>zapewni</w:t>
      </w:r>
      <w:r w:rsidR="00E876A8">
        <w:rPr>
          <w:u w:val="single"/>
        </w:rPr>
        <w:t>a</w:t>
      </w:r>
      <w:r w:rsidR="00E876A8" w:rsidRPr="0005069D">
        <w:rPr>
          <w:u w:val="single"/>
        </w:rPr>
        <w:t xml:space="preserve">nia </w:t>
      </w:r>
      <w:r w:rsidR="00B334C4" w:rsidRPr="0005069D">
        <w:rPr>
          <w:u w:val="single"/>
        </w:rPr>
        <w:t>jakości projektowania procedur lotu (Doc 9906)</w:t>
      </w:r>
    </w:p>
    <w:p w14:paraId="774B8F7C" w14:textId="1947884A" w:rsidR="00C74800" w:rsidRPr="0005069D" w:rsidRDefault="00302F3C" w:rsidP="0005069D">
      <w:pPr>
        <w:pStyle w:val="Akapitzlist"/>
        <w:spacing w:before="120" w:after="120" w:line="360" w:lineRule="auto"/>
        <w:ind w:left="0"/>
        <w:jc w:val="both"/>
      </w:pPr>
      <w:r>
        <w:t xml:space="preserve">Dokument </w:t>
      </w:r>
      <w:r w:rsidR="00427A37" w:rsidRPr="0005069D">
        <w:t xml:space="preserve">składa się z </w:t>
      </w:r>
      <w:r w:rsidR="005E4AD2">
        <w:t>sześciu</w:t>
      </w:r>
      <w:r w:rsidR="005E4AD2" w:rsidRPr="0005069D">
        <w:t xml:space="preserve"> </w:t>
      </w:r>
      <w:r w:rsidR="00427A37" w:rsidRPr="0005069D">
        <w:t xml:space="preserve">tomów, jednak w trakcie projektowania procedur </w:t>
      </w:r>
      <w:r w:rsidR="00971887">
        <w:t xml:space="preserve">lotu </w:t>
      </w:r>
      <w:r w:rsidR="00427A37" w:rsidRPr="0005069D">
        <w:t>wykorzystuje się</w:t>
      </w:r>
      <w:r w:rsidR="002C0253" w:rsidRPr="0005069D">
        <w:t xml:space="preserve"> jedynie</w:t>
      </w:r>
      <w:r w:rsidR="00C74800">
        <w:t xml:space="preserve"> tom </w:t>
      </w:r>
      <w:r w:rsidR="005E4AD2">
        <w:t xml:space="preserve">1 </w:t>
      </w:r>
      <w:r w:rsidR="00C74800">
        <w:t xml:space="preserve">oraz </w:t>
      </w:r>
      <w:r w:rsidR="005E4AD2">
        <w:t>5</w:t>
      </w:r>
      <w:r w:rsidR="00C74800">
        <w:t>.</w:t>
      </w:r>
    </w:p>
    <w:p w14:paraId="132C966D" w14:textId="68443FB2" w:rsidR="00C74800" w:rsidRPr="0005069D" w:rsidRDefault="00C74800" w:rsidP="0005069D">
      <w:pPr>
        <w:pStyle w:val="Akapitzlist"/>
        <w:spacing w:before="120" w:after="120" w:line="360" w:lineRule="auto"/>
        <w:ind w:left="0"/>
        <w:jc w:val="both"/>
      </w:pPr>
      <w:r>
        <w:t>T</w:t>
      </w:r>
      <w:r w:rsidRPr="006752CB">
        <w:t xml:space="preserve">om </w:t>
      </w:r>
      <w:r w:rsidR="00E876A8">
        <w:t>1</w:t>
      </w:r>
      <w:r w:rsidR="00E876A8" w:rsidRPr="006752CB">
        <w:t xml:space="preserve"> </w:t>
      </w:r>
      <w:r w:rsidR="00B334C4" w:rsidRPr="006752CB">
        <w:t>– „System zapewniania jakości projektowania procedur lotu”</w:t>
      </w:r>
      <w:r w:rsidR="0005069D">
        <w:t xml:space="preserve"> zawiera</w:t>
      </w:r>
      <w:r w:rsidR="002C0253" w:rsidRPr="0005069D">
        <w:t xml:space="preserve"> wytyczne dotyczące zapewniania jakości w elementach projektowania procedur lotu oraz ogólny diagram przepływu informacji w trakcie procesu projektowania i wdrożenia procedur lotu</w:t>
      </w:r>
      <w:r w:rsidR="0005069D">
        <w:t>.</w:t>
      </w:r>
    </w:p>
    <w:p w14:paraId="21F39000" w14:textId="1827A3A6" w:rsidR="00001388" w:rsidRDefault="00C74800" w:rsidP="0005069D">
      <w:pPr>
        <w:spacing w:before="120" w:after="120" w:line="360" w:lineRule="auto"/>
        <w:jc w:val="both"/>
      </w:pPr>
      <w:r>
        <w:t>T</w:t>
      </w:r>
      <w:r w:rsidRPr="006752CB">
        <w:t xml:space="preserve">om </w:t>
      </w:r>
      <w:r w:rsidR="00E876A8">
        <w:t>5</w:t>
      </w:r>
      <w:r w:rsidR="00E876A8" w:rsidRPr="006752CB">
        <w:t xml:space="preserve"> </w:t>
      </w:r>
      <w:r w:rsidR="00B334C4" w:rsidRPr="006752CB">
        <w:t>„Walidacja instrumentalnych procedur lotu”</w:t>
      </w:r>
      <w:r w:rsidR="0005069D">
        <w:t xml:space="preserve"> zawiera</w:t>
      </w:r>
      <w:r w:rsidR="00A708D1" w:rsidRPr="0005069D">
        <w:t xml:space="preserve"> wytyczne dotyczące przeprowadzania walidacji lotu według wskazań przyrządów, określa procedury w tym: bezpieczeństwo, latalność i dokładność projektu oraz zapewnienie jakości. Walidacja jest ostatnim etapem w procesie projektowania procedury</w:t>
      </w:r>
      <w:r w:rsidR="00357EF6">
        <w:t xml:space="preserve"> </w:t>
      </w:r>
      <w:r w:rsidR="00357EF6" w:rsidRPr="00357EF6">
        <w:t>Instru</w:t>
      </w:r>
      <w:r w:rsidR="00357EF6">
        <w:t>m</w:t>
      </w:r>
      <w:r w:rsidR="00357EF6" w:rsidRPr="00357EF6">
        <w:t>entaln</w:t>
      </w:r>
      <w:r w:rsidR="00357EF6">
        <w:t>ej</w:t>
      </w:r>
      <w:r w:rsidR="00357EF6" w:rsidRPr="00357EF6">
        <w:t xml:space="preserve"> Procedur</w:t>
      </w:r>
      <w:r w:rsidR="00357EF6">
        <w:t>y</w:t>
      </w:r>
      <w:r w:rsidR="00357EF6" w:rsidRPr="00357EF6">
        <w:t xml:space="preserve"> Lotu</w:t>
      </w:r>
      <w:r w:rsidR="00357EF6">
        <w:t xml:space="preserve"> </w:t>
      </w:r>
      <w:r w:rsidR="00572E0F" w:rsidRPr="00572E0F">
        <w:t>–</w:t>
      </w:r>
      <w:r w:rsidR="00357EF6">
        <w:t xml:space="preserve"> </w:t>
      </w:r>
      <w:r w:rsidR="00357EF6" w:rsidRPr="00357EF6">
        <w:t>Instrument Flight Procedure</w:t>
      </w:r>
      <w:r w:rsidR="00A708D1" w:rsidRPr="0005069D">
        <w:t xml:space="preserve"> </w:t>
      </w:r>
      <w:r w:rsidR="00357EF6">
        <w:t>(</w:t>
      </w:r>
      <w:r w:rsidR="00A708D1" w:rsidRPr="0005069D">
        <w:t>IFP</w:t>
      </w:r>
      <w:r w:rsidR="00357EF6">
        <w:t>)</w:t>
      </w:r>
      <w:r w:rsidR="00A708D1" w:rsidRPr="0005069D">
        <w:t xml:space="preserve"> i niezbędnym krokiem przed skuteczną </w:t>
      </w:r>
      <w:r w:rsidR="0005069D">
        <w:t>i </w:t>
      </w:r>
      <w:r w:rsidR="00001388" w:rsidRPr="0005069D">
        <w:t xml:space="preserve">bezpieczną </w:t>
      </w:r>
      <w:r w:rsidR="006E641B">
        <w:t>publikacją procedury.</w:t>
      </w:r>
    </w:p>
    <w:p w14:paraId="57CD34BC" w14:textId="671CA985" w:rsidR="0005069D" w:rsidRDefault="0005069D" w:rsidP="0005069D">
      <w:pPr>
        <w:spacing w:before="120" w:after="120" w:line="360" w:lineRule="auto"/>
        <w:jc w:val="both"/>
      </w:pPr>
      <w:r>
        <w:t>W celu wdrożenia</w:t>
      </w:r>
      <w:r w:rsidRPr="0005069D">
        <w:t xml:space="preserve"> </w:t>
      </w:r>
      <w:r>
        <w:t>w Rzecz</w:t>
      </w:r>
      <w:r w:rsidR="00E876A8">
        <w:t>y</w:t>
      </w:r>
      <w:r>
        <w:t xml:space="preserve">pospolitej Polskiej ww. regulacji z zakresu </w:t>
      </w:r>
      <w:r w:rsidRPr="0005069D">
        <w:t>procedur lotu oraz procedur służb żeglugi powietrznej</w:t>
      </w:r>
      <w:r>
        <w:t xml:space="preserve"> konieczne jest wydanie,</w:t>
      </w:r>
      <w:r w:rsidRPr="0005069D">
        <w:t xml:space="preserve"> na podstawie upoważnienia ustawowego </w:t>
      </w:r>
      <w:r w:rsidR="00D6657E">
        <w:t>określonego w</w:t>
      </w:r>
      <w:r w:rsidRPr="0005069D">
        <w:t xml:space="preserve"> art. 3 ust. 4 pkt 1 ustawy z dnia 3 lipca 2002 r. – Prawo lotnicze (Dz. U. z 2022 r. poz. 1235, z późn. zm.)</w:t>
      </w:r>
      <w:r>
        <w:t>, rozporządzenia</w:t>
      </w:r>
      <w:r w:rsidRPr="0005069D">
        <w:t xml:space="preserve"> Ministra Infrastruktury w sprawie wprowadzenia do stosowania wymagań </w:t>
      </w:r>
      <w:r w:rsidR="00E876A8">
        <w:t xml:space="preserve">ustanowionych przez </w:t>
      </w:r>
      <w:r w:rsidRPr="0005069D">
        <w:t>Organizacj</w:t>
      </w:r>
      <w:r w:rsidR="00E876A8">
        <w:t>ę</w:t>
      </w:r>
      <w:r w:rsidRPr="0005069D">
        <w:t xml:space="preserve"> Międzynarodowego Lotnictwa Cywilnego w zakresie procedur lotu oraz procedur służb ż</w:t>
      </w:r>
      <w:r>
        <w:t>eglugi powietrznej</w:t>
      </w:r>
      <w:r w:rsidRPr="0005069D">
        <w:t>.</w:t>
      </w:r>
    </w:p>
    <w:p w14:paraId="4BCF2D58" w14:textId="77777777" w:rsidR="0005069D" w:rsidRDefault="0005069D" w:rsidP="0005069D">
      <w:pPr>
        <w:spacing w:before="120" w:after="120" w:line="360" w:lineRule="auto"/>
        <w:jc w:val="both"/>
      </w:pPr>
    </w:p>
    <w:p w14:paraId="1DBF7061" w14:textId="51A04EB9" w:rsidR="0005069D" w:rsidRPr="0005069D" w:rsidRDefault="0005069D" w:rsidP="00BE1C5E">
      <w:pPr>
        <w:tabs>
          <w:tab w:val="left" w:pos="567"/>
        </w:tabs>
        <w:spacing w:before="120" w:after="120" w:line="360" w:lineRule="auto"/>
        <w:jc w:val="both"/>
        <w:rPr>
          <w:b/>
        </w:rPr>
      </w:pPr>
      <w:r w:rsidRPr="0005069D">
        <w:rPr>
          <w:b/>
        </w:rPr>
        <w:lastRenderedPageBreak/>
        <w:t>II.</w:t>
      </w:r>
      <w:r w:rsidR="000C3BEF">
        <w:rPr>
          <w:b/>
        </w:rPr>
        <w:tab/>
      </w:r>
      <w:r w:rsidRPr="0005069D">
        <w:rPr>
          <w:b/>
        </w:rPr>
        <w:t>Zakres regulacji</w:t>
      </w:r>
    </w:p>
    <w:p w14:paraId="54739232" w14:textId="21FFD84D" w:rsidR="0005069D" w:rsidRPr="0005069D" w:rsidRDefault="0005069D" w:rsidP="0005069D">
      <w:pPr>
        <w:suppressAutoHyphens/>
        <w:autoSpaceDE w:val="0"/>
        <w:autoSpaceDN w:val="0"/>
        <w:adjustRightInd w:val="0"/>
        <w:spacing w:before="120" w:line="360" w:lineRule="auto"/>
        <w:jc w:val="both"/>
        <w:rPr>
          <w:rFonts w:ascii="Times" w:hAnsi="Times" w:cs="Arial"/>
          <w:szCs w:val="20"/>
        </w:rPr>
      </w:pPr>
      <w:r>
        <w:rPr>
          <w:rFonts w:ascii="Times" w:hAnsi="Times" w:cs="Arial"/>
          <w:szCs w:val="20"/>
        </w:rPr>
        <w:t>Stosownie do §</w:t>
      </w:r>
      <w:r w:rsidR="009152EC">
        <w:rPr>
          <w:rFonts w:ascii="Times" w:hAnsi="Times" w:cs="Arial"/>
          <w:szCs w:val="20"/>
        </w:rPr>
        <w:t xml:space="preserve"> 1</w:t>
      </w:r>
      <w:r w:rsidR="00E876A8">
        <w:rPr>
          <w:rFonts w:ascii="Times" w:hAnsi="Times" w:cs="Arial"/>
          <w:szCs w:val="20"/>
        </w:rPr>
        <w:t xml:space="preserve"> projektowanego rozporządzenia</w:t>
      </w:r>
      <w:r>
        <w:rPr>
          <w:rFonts w:ascii="Times" w:hAnsi="Times" w:cs="Arial"/>
          <w:szCs w:val="20"/>
        </w:rPr>
        <w:t>, w</w:t>
      </w:r>
      <w:r w:rsidRPr="0005069D">
        <w:rPr>
          <w:rFonts w:ascii="Times" w:hAnsi="Times" w:cs="Arial"/>
          <w:szCs w:val="20"/>
        </w:rPr>
        <w:t xml:space="preserve"> zakresie nieuregulowanym przepisami prawa Unii Europejskiej wprowadza się do stosowania wymagania ustanowione przez ICAO:</w:t>
      </w:r>
    </w:p>
    <w:p w14:paraId="70BC5B08" w14:textId="48BD29AA" w:rsidR="0005069D" w:rsidRPr="0005069D" w:rsidRDefault="0005069D" w:rsidP="0005069D">
      <w:pPr>
        <w:spacing w:line="360" w:lineRule="auto"/>
        <w:ind w:left="510" w:hanging="510"/>
        <w:jc w:val="both"/>
        <w:rPr>
          <w:rFonts w:ascii="Times" w:hAnsi="Times" w:cs="Arial"/>
          <w:bCs/>
          <w:szCs w:val="20"/>
        </w:rPr>
      </w:pPr>
      <w:r w:rsidRPr="0005069D">
        <w:rPr>
          <w:rFonts w:ascii="Times" w:hAnsi="Times" w:cs="Arial"/>
          <w:bCs/>
          <w:szCs w:val="20"/>
        </w:rPr>
        <w:t>1)</w:t>
      </w:r>
      <w:r w:rsidRPr="0005069D">
        <w:rPr>
          <w:rFonts w:ascii="Times" w:hAnsi="Times" w:cs="Arial"/>
          <w:bCs/>
          <w:szCs w:val="20"/>
        </w:rPr>
        <w:tab/>
        <w:t>„Procedury Służb Żeglugi Powietrznej – Operacje Statków Powietrznych” (Doc 8168):</w:t>
      </w:r>
    </w:p>
    <w:p w14:paraId="04FD3E11" w14:textId="03431639" w:rsidR="0005069D" w:rsidRPr="0005069D" w:rsidRDefault="0005069D" w:rsidP="0005069D">
      <w:pPr>
        <w:spacing w:line="360" w:lineRule="auto"/>
        <w:ind w:left="986" w:hanging="476"/>
        <w:jc w:val="both"/>
        <w:rPr>
          <w:rFonts w:ascii="Times" w:hAnsi="Times" w:cs="Arial"/>
          <w:bCs/>
          <w:szCs w:val="20"/>
        </w:rPr>
      </w:pPr>
      <w:r w:rsidRPr="0005069D">
        <w:rPr>
          <w:rFonts w:ascii="Times" w:hAnsi="Times" w:cs="Arial"/>
          <w:bCs/>
          <w:szCs w:val="20"/>
        </w:rPr>
        <w:t>a)</w:t>
      </w:r>
      <w:r w:rsidRPr="0005069D">
        <w:rPr>
          <w:rFonts w:ascii="Times" w:hAnsi="Times" w:cs="Arial"/>
          <w:bCs/>
          <w:szCs w:val="20"/>
        </w:rPr>
        <w:tab/>
        <w:t>tom I „Procedury lotu”</w:t>
      </w:r>
      <w:r w:rsidR="00E83F41">
        <w:rPr>
          <w:rFonts w:ascii="Times" w:hAnsi="Times" w:cs="Arial"/>
          <w:bCs/>
          <w:szCs w:val="20"/>
        </w:rPr>
        <w:t>,</w:t>
      </w:r>
      <w:r w:rsidRPr="0005069D">
        <w:rPr>
          <w:rFonts w:ascii="Times" w:hAnsi="Times" w:cs="Arial"/>
          <w:bCs/>
          <w:szCs w:val="20"/>
        </w:rPr>
        <w:t xml:space="preserve"> ogłoszone w załączniku do obwieszczenia nr 6/2023 Prezesa Urzędu Lotnictwa Cywilnego z dnia 21 kwietnia 2023 r. w sprawie ogłoszenia wymagań ustanowionych przez Organizację Międzynarodowego Lotnictwa Cywilnego (ICAO) w Doc. 8168 – Procedury Służb Żeglugi Powietrznej – Operacje Statków Powietrznych, tom I</w:t>
      </w:r>
      <w:r w:rsidR="00E876A8">
        <w:rPr>
          <w:rFonts w:ascii="Times" w:hAnsi="Times" w:cs="Arial"/>
          <w:bCs/>
          <w:szCs w:val="20"/>
        </w:rPr>
        <w:t xml:space="preserve"> </w:t>
      </w:r>
      <w:r w:rsidRPr="0005069D">
        <w:rPr>
          <w:rFonts w:ascii="Times" w:hAnsi="Times" w:cs="Arial"/>
          <w:bCs/>
          <w:szCs w:val="20"/>
        </w:rPr>
        <w:t>„Procedur</w:t>
      </w:r>
      <w:r w:rsidR="006E641B">
        <w:rPr>
          <w:rFonts w:ascii="Times" w:hAnsi="Times" w:cs="Arial"/>
          <w:bCs/>
          <w:szCs w:val="20"/>
        </w:rPr>
        <w:t>y lotu” (Dz. Urz. ULC poz. 22),</w:t>
      </w:r>
    </w:p>
    <w:p w14:paraId="0242C4E8" w14:textId="1CF19E98" w:rsidR="0005069D" w:rsidRPr="0005069D" w:rsidRDefault="0005069D" w:rsidP="0005069D">
      <w:pPr>
        <w:spacing w:line="360" w:lineRule="auto"/>
        <w:ind w:left="986" w:hanging="476"/>
        <w:jc w:val="both"/>
        <w:rPr>
          <w:rFonts w:ascii="Times" w:hAnsi="Times" w:cs="Arial"/>
          <w:bCs/>
          <w:szCs w:val="20"/>
        </w:rPr>
      </w:pPr>
      <w:r w:rsidRPr="0005069D">
        <w:rPr>
          <w:rFonts w:ascii="Times" w:hAnsi="Times" w:cs="Arial"/>
          <w:bCs/>
          <w:szCs w:val="20"/>
        </w:rPr>
        <w:t>b)</w:t>
      </w:r>
      <w:r w:rsidRPr="0005069D">
        <w:rPr>
          <w:rFonts w:ascii="Times" w:hAnsi="Times" w:cs="Arial"/>
          <w:bCs/>
          <w:szCs w:val="20"/>
        </w:rPr>
        <w:tab/>
        <w:t>tom II „Opracowywanie procedur lotu z widocznością i według wskazań przyrządów”, ogłoszone w załączniku do obwieszczenia nr 13 Prezesa Urzędu Lotnictwa Cywilnego z dnia 13 września 2022 r. w sprawie ogłoszenia wymagań ustanowionych przez Organizację Międzynarodowego Lotnictwa Cywilnego (ICAO) w</w:t>
      </w:r>
      <w:r w:rsidR="00E876A8">
        <w:rPr>
          <w:rFonts w:ascii="Times" w:hAnsi="Times" w:cs="Arial"/>
          <w:bCs/>
          <w:szCs w:val="20"/>
        </w:rPr>
        <w:t xml:space="preserve"> </w:t>
      </w:r>
      <w:r w:rsidRPr="0005069D">
        <w:rPr>
          <w:rFonts w:ascii="Times" w:hAnsi="Times" w:cs="Arial"/>
          <w:bCs/>
          <w:szCs w:val="20"/>
        </w:rPr>
        <w:t>Doc. 8168 – Procedury Służb Żeglugi Powietrznej – Operacje Statków Powietrznych, tom II „Opracowywanie procedur lotu z</w:t>
      </w:r>
      <w:r w:rsidR="00E876A8">
        <w:rPr>
          <w:rFonts w:ascii="Times" w:hAnsi="Times" w:cs="Arial"/>
          <w:bCs/>
          <w:szCs w:val="20"/>
        </w:rPr>
        <w:t xml:space="preserve"> </w:t>
      </w:r>
      <w:r w:rsidRPr="0005069D">
        <w:rPr>
          <w:rFonts w:ascii="Times" w:hAnsi="Times" w:cs="Arial"/>
          <w:bCs/>
          <w:szCs w:val="20"/>
        </w:rPr>
        <w:t>widocznością i</w:t>
      </w:r>
      <w:r w:rsidR="00E876A8">
        <w:rPr>
          <w:rFonts w:ascii="Times" w:hAnsi="Times" w:cs="Arial"/>
          <w:bCs/>
          <w:szCs w:val="20"/>
        </w:rPr>
        <w:t xml:space="preserve"> </w:t>
      </w:r>
      <w:r w:rsidRPr="0005069D">
        <w:rPr>
          <w:rFonts w:ascii="Times" w:hAnsi="Times" w:cs="Arial"/>
          <w:bCs/>
          <w:szCs w:val="20"/>
        </w:rPr>
        <w:t>według wskazań przyrządów” (Dz. Urz. ULC poz. 50),</w:t>
      </w:r>
    </w:p>
    <w:p w14:paraId="5688AAA2" w14:textId="72DCF421" w:rsidR="0005069D" w:rsidRPr="0005069D" w:rsidRDefault="0005069D" w:rsidP="0005069D">
      <w:pPr>
        <w:spacing w:line="360" w:lineRule="auto"/>
        <w:ind w:left="986" w:hanging="476"/>
        <w:jc w:val="both"/>
        <w:rPr>
          <w:rFonts w:ascii="Times" w:hAnsi="Times" w:cs="Arial"/>
          <w:bCs/>
          <w:szCs w:val="20"/>
        </w:rPr>
      </w:pPr>
      <w:r w:rsidRPr="0005069D">
        <w:rPr>
          <w:rFonts w:ascii="Times" w:hAnsi="Times" w:cs="Arial"/>
          <w:bCs/>
          <w:szCs w:val="20"/>
        </w:rPr>
        <w:t>c)</w:t>
      </w:r>
      <w:r w:rsidRPr="0005069D">
        <w:rPr>
          <w:rFonts w:ascii="Times" w:hAnsi="Times" w:cs="Arial"/>
          <w:bCs/>
          <w:szCs w:val="20"/>
        </w:rPr>
        <w:tab/>
      </w:r>
      <w:bookmarkStart w:id="0" w:name="_Hlk135046889"/>
      <w:r w:rsidRPr="0005069D">
        <w:rPr>
          <w:rFonts w:ascii="Times" w:hAnsi="Times" w:cs="Arial"/>
          <w:bCs/>
          <w:szCs w:val="20"/>
        </w:rPr>
        <w:t>tom III „Procedury operacyjne statków powietrznych”</w:t>
      </w:r>
      <w:bookmarkEnd w:id="0"/>
      <w:r w:rsidR="00F16861">
        <w:rPr>
          <w:rFonts w:ascii="Times" w:hAnsi="Times" w:cs="Arial"/>
          <w:bCs/>
          <w:szCs w:val="20"/>
        </w:rPr>
        <w:t>,</w:t>
      </w:r>
      <w:r w:rsidRPr="0005069D">
        <w:rPr>
          <w:rFonts w:ascii="Times" w:hAnsi="Times" w:cs="Arial"/>
          <w:bCs/>
          <w:szCs w:val="20"/>
        </w:rPr>
        <w:t xml:space="preserve"> ogłoszone w załączniku do obwieszczenia nr 7/2023 Prezesa Urzędu Lotnictwa Cywilnego z dnia 21 kwietnia 2023</w:t>
      </w:r>
      <w:r w:rsidR="00E876A8">
        <w:rPr>
          <w:rFonts w:ascii="Times" w:hAnsi="Times" w:cs="Arial"/>
          <w:bCs/>
          <w:szCs w:val="20"/>
        </w:rPr>
        <w:t> </w:t>
      </w:r>
      <w:r w:rsidRPr="0005069D">
        <w:rPr>
          <w:rFonts w:ascii="Times" w:hAnsi="Times" w:cs="Arial"/>
          <w:bCs/>
          <w:szCs w:val="20"/>
        </w:rPr>
        <w:t>r. w sprawie ogłoszenia wymagań ustanowionych przez Organizację Międzynarodowego Lotnictwa Cywilnego (ICAO) w</w:t>
      </w:r>
      <w:r w:rsidR="00E876A8">
        <w:rPr>
          <w:rFonts w:ascii="Times" w:hAnsi="Times" w:cs="Arial"/>
          <w:bCs/>
          <w:szCs w:val="20"/>
        </w:rPr>
        <w:t xml:space="preserve"> </w:t>
      </w:r>
      <w:r w:rsidRPr="0005069D">
        <w:rPr>
          <w:rFonts w:ascii="Times" w:hAnsi="Times" w:cs="Arial"/>
          <w:bCs/>
          <w:szCs w:val="20"/>
        </w:rPr>
        <w:t>Doc. 8168 – Procedury Służb Żeglugi Powietrznej – Operacje Statków Powietrznych, Tom III „Procedury operacyjne statków powietrznych” (Dz. Urz. ULC poz. 23)</w:t>
      </w:r>
    </w:p>
    <w:p w14:paraId="5406E517" w14:textId="77777777" w:rsidR="0005069D" w:rsidRPr="0005069D" w:rsidRDefault="0005069D" w:rsidP="0005069D">
      <w:pPr>
        <w:spacing w:line="360" w:lineRule="auto"/>
        <w:ind w:left="510"/>
        <w:jc w:val="both"/>
        <w:rPr>
          <w:rFonts w:ascii="Times" w:hAnsi="Times" w:cs="Arial"/>
          <w:bCs/>
        </w:rPr>
      </w:pPr>
      <w:r w:rsidRPr="0005069D">
        <w:rPr>
          <w:rFonts w:ascii="Times" w:hAnsi="Times" w:cs="Arial"/>
          <w:bCs/>
        </w:rPr>
        <w:t>– w zakresie procedur lotu;</w:t>
      </w:r>
    </w:p>
    <w:p w14:paraId="278F84D7" w14:textId="76278757" w:rsidR="0005069D" w:rsidRPr="0005069D" w:rsidRDefault="0005069D" w:rsidP="0005069D">
      <w:pPr>
        <w:spacing w:line="360" w:lineRule="auto"/>
        <w:ind w:left="510" w:hanging="510"/>
        <w:jc w:val="both"/>
        <w:rPr>
          <w:rFonts w:ascii="Times" w:hAnsi="Times" w:cs="Arial"/>
          <w:bCs/>
          <w:szCs w:val="20"/>
        </w:rPr>
      </w:pPr>
      <w:r w:rsidRPr="0005069D">
        <w:rPr>
          <w:rFonts w:ascii="Times" w:hAnsi="Times" w:cs="Arial"/>
          <w:bCs/>
          <w:szCs w:val="20"/>
        </w:rPr>
        <w:t>2)</w:t>
      </w:r>
      <w:r w:rsidRPr="0005069D">
        <w:rPr>
          <w:rFonts w:ascii="Times" w:hAnsi="Times" w:cs="Arial"/>
          <w:bCs/>
          <w:szCs w:val="20"/>
        </w:rPr>
        <w:tab/>
      </w:r>
      <w:bookmarkStart w:id="1" w:name="_Hlk135047157"/>
      <w:r w:rsidRPr="0005069D">
        <w:rPr>
          <w:rFonts w:ascii="Times" w:hAnsi="Times" w:cs="Arial"/>
          <w:bCs/>
          <w:szCs w:val="20"/>
        </w:rPr>
        <w:t>„Podręcznik zapewni</w:t>
      </w:r>
      <w:r w:rsidR="00E876A8">
        <w:rPr>
          <w:rFonts w:ascii="Times" w:hAnsi="Times" w:cs="Arial"/>
          <w:bCs/>
          <w:szCs w:val="20"/>
        </w:rPr>
        <w:t>a</w:t>
      </w:r>
      <w:r w:rsidRPr="0005069D">
        <w:rPr>
          <w:rFonts w:ascii="Times" w:hAnsi="Times" w:cs="Arial"/>
          <w:bCs/>
          <w:szCs w:val="20"/>
        </w:rPr>
        <w:t>nia jakości projektowania procedur lotu” (Doc 9906)</w:t>
      </w:r>
      <w:bookmarkEnd w:id="1"/>
      <w:r w:rsidRPr="0005069D">
        <w:rPr>
          <w:rFonts w:ascii="Times" w:hAnsi="Times" w:cs="Arial"/>
          <w:bCs/>
          <w:szCs w:val="20"/>
        </w:rPr>
        <w:t>:</w:t>
      </w:r>
    </w:p>
    <w:p w14:paraId="47E7EBA5" w14:textId="630CBE1F" w:rsidR="0005069D" w:rsidRPr="0005069D" w:rsidRDefault="0005069D" w:rsidP="0005069D">
      <w:pPr>
        <w:spacing w:line="360" w:lineRule="auto"/>
        <w:ind w:left="986" w:hanging="476"/>
        <w:jc w:val="both"/>
        <w:rPr>
          <w:rFonts w:ascii="Times" w:hAnsi="Times" w:cs="Arial"/>
          <w:bCs/>
          <w:szCs w:val="20"/>
        </w:rPr>
      </w:pPr>
      <w:r w:rsidRPr="0005069D">
        <w:rPr>
          <w:rFonts w:ascii="Times" w:hAnsi="Times" w:cs="Arial"/>
          <w:bCs/>
          <w:szCs w:val="20"/>
        </w:rPr>
        <w:t>a)</w:t>
      </w:r>
      <w:r w:rsidRPr="0005069D">
        <w:rPr>
          <w:rFonts w:ascii="Times" w:hAnsi="Times" w:cs="Arial"/>
          <w:bCs/>
          <w:szCs w:val="20"/>
        </w:rPr>
        <w:tab/>
      </w:r>
      <w:bookmarkStart w:id="2" w:name="_Hlk135047207"/>
      <w:r w:rsidRPr="0005069D">
        <w:rPr>
          <w:rFonts w:ascii="Times" w:hAnsi="Times" w:cs="Arial"/>
          <w:bCs/>
          <w:szCs w:val="20"/>
        </w:rPr>
        <w:t xml:space="preserve">tom </w:t>
      </w:r>
      <w:r w:rsidR="00E876A8">
        <w:rPr>
          <w:rFonts w:ascii="Times" w:hAnsi="Times" w:cs="Arial"/>
          <w:bCs/>
          <w:szCs w:val="20"/>
        </w:rPr>
        <w:t>1</w:t>
      </w:r>
      <w:r w:rsidR="00E876A8" w:rsidRPr="0005069D">
        <w:rPr>
          <w:rFonts w:ascii="Times" w:hAnsi="Times" w:cs="Arial"/>
          <w:bCs/>
          <w:szCs w:val="20"/>
        </w:rPr>
        <w:t xml:space="preserve"> </w:t>
      </w:r>
      <w:r w:rsidRPr="0005069D">
        <w:rPr>
          <w:rFonts w:ascii="Times" w:hAnsi="Times" w:cs="Arial"/>
          <w:bCs/>
          <w:szCs w:val="20"/>
        </w:rPr>
        <w:t>„System zapewniania jakości projektowania procedur lotu”</w:t>
      </w:r>
      <w:bookmarkEnd w:id="2"/>
      <w:r w:rsidR="00F16861">
        <w:rPr>
          <w:rFonts w:ascii="Times" w:hAnsi="Times" w:cs="Arial"/>
          <w:bCs/>
          <w:szCs w:val="20"/>
        </w:rPr>
        <w:t>,</w:t>
      </w:r>
      <w:r w:rsidRPr="0005069D">
        <w:rPr>
          <w:rFonts w:ascii="Times" w:hAnsi="Times" w:cs="Arial"/>
          <w:bCs/>
          <w:szCs w:val="20"/>
        </w:rPr>
        <w:t xml:space="preserve"> ogłoszony</w:t>
      </w:r>
      <w:r w:rsidR="009152EC">
        <w:rPr>
          <w:rFonts w:ascii="Times" w:hAnsi="Times" w:cs="Arial"/>
          <w:bCs/>
          <w:szCs w:val="20"/>
        </w:rPr>
        <w:t xml:space="preserve"> w </w:t>
      </w:r>
      <w:r w:rsidRPr="0005069D">
        <w:rPr>
          <w:rFonts w:ascii="Times" w:hAnsi="Times" w:cs="Arial"/>
          <w:bCs/>
          <w:szCs w:val="20"/>
        </w:rPr>
        <w:t>załączniku do obwieszczenia nr 10/2023 Prezesa Urzędu Lotnictwa Cywilnego z dnia 4 maja 2023 r. w sprawie ogłoszenia wymagań ustanowionych przez Organizację Międzynarodowe</w:t>
      </w:r>
      <w:r w:rsidR="00E83F41">
        <w:rPr>
          <w:rFonts w:ascii="Times" w:hAnsi="Times" w:cs="Arial"/>
          <w:bCs/>
          <w:szCs w:val="20"/>
        </w:rPr>
        <w:t xml:space="preserve">go Lotnictwa Cywilnego (ICAO) w </w:t>
      </w:r>
      <w:r w:rsidRPr="0005069D">
        <w:rPr>
          <w:rFonts w:ascii="Times" w:hAnsi="Times" w:cs="Arial"/>
          <w:bCs/>
          <w:szCs w:val="20"/>
        </w:rPr>
        <w:t>Doc. 9906 – Podręcznik zapewniania jakości projektowania procedur lotu, tom 1</w:t>
      </w:r>
      <w:r w:rsidR="003B4DC0">
        <w:rPr>
          <w:rFonts w:ascii="Times" w:hAnsi="Times" w:cs="Arial"/>
          <w:bCs/>
          <w:szCs w:val="20"/>
        </w:rPr>
        <w:t xml:space="preserve"> </w:t>
      </w:r>
      <w:r w:rsidRPr="0005069D">
        <w:rPr>
          <w:rFonts w:ascii="Times" w:hAnsi="Times" w:cs="Arial"/>
          <w:bCs/>
          <w:szCs w:val="20"/>
        </w:rPr>
        <w:t>„System zapewniania jakości projektowania procedu</w:t>
      </w:r>
      <w:r w:rsidR="006E641B">
        <w:rPr>
          <w:rFonts w:ascii="Times" w:hAnsi="Times" w:cs="Arial"/>
          <w:bCs/>
          <w:szCs w:val="20"/>
        </w:rPr>
        <w:t>r lotu” (Dz. Urz. ULC poz. 26),</w:t>
      </w:r>
    </w:p>
    <w:p w14:paraId="2747F3FB" w14:textId="24FED9B0" w:rsidR="0005069D" w:rsidRPr="0005069D" w:rsidRDefault="0005069D" w:rsidP="0005069D">
      <w:pPr>
        <w:spacing w:line="360" w:lineRule="auto"/>
        <w:ind w:left="986" w:hanging="476"/>
        <w:jc w:val="both"/>
        <w:rPr>
          <w:rFonts w:ascii="Times" w:hAnsi="Times" w:cs="Arial"/>
          <w:bCs/>
          <w:szCs w:val="20"/>
        </w:rPr>
      </w:pPr>
      <w:r w:rsidRPr="0005069D">
        <w:rPr>
          <w:rFonts w:ascii="Times" w:hAnsi="Times" w:cs="Arial"/>
          <w:bCs/>
          <w:szCs w:val="20"/>
        </w:rPr>
        <w:t>b)</w:t>
      </w:r>
      <w:r w:rsidRPr="0005069D">
        <w:rPr>
          <w:rFonts w:ascii="Times" w:hAnsi="Times" w:cs="Arial"/>
          <w:bCs/>
          <w:szCs w:val="20"/>
        </w:rPr>
        <w:tab/>
      </w:r>
      <w:bookmarkStart w:id="3" w:name="_Hlk135047247"/>
      <w:r w:rsidRPr="0005069D">
        <w:rPr>
          <w:rFonts w:ascii="Times" w:hAnsi="Times" w:cs="Arial"/>
          <w:bCs/>
          <w:szCs w:val="20"/>
        </w:rPr>
        <w:t xml:space="preserve">tom </w:t>
      </w:r>
      <w:r w:rsidR="00E876A8">
        <w:rPr>
          <w:rFonts w:ascii="Times" w:hAnsi="Times" w:cs="Arial"/>
          <w:bCs/>
          <w:szCs w:val="20"/>
        </w:rPr>
        <w:t>5</w:t>
      </w:r>
      <w:r w:rsidR="00E876A8" w:rsidRPr="0005069D">
        <w:rPr>
          <w:rFonts w:ascii="Times" w:hAnsi="Times" w:cs="Arial"/>
          <w:bCs/>
          <w:szCs w:val="20"/>
        </w:rPr>
        <w:t xml:space="preserve"> </w:t>
      </w:r>
      <w:r w:rsidRPr="0005069D">
        <w:rPr>
          <w:rFonts w:ascii="Times" w:hAnsi="Times" w:cs="Arial"/>
          <w:bCs/>
          <w:szCs w:val="20"/>
        </w:rPr>
        <w:t>„Walidacja instrumentalnych procedur lotu”</w:t>
      </w:r>
      <w:bookmarkEnd w:id="3"/>
      <w:r w:rsidRPr="0005069D">
        <w:rPr>
          <w:rFonts w:ascii="Times" w:hAnsi="Times" w:cs="Arial"/>
          <w:bCs/>
          <w:szCs w:val="20"/>
        </w:rPr>
        <w:t>, ogłoszony w załączniku do obwieszczenia nr 12 Prezesa Urzędu Lotnictwa Cywilnego z dnia 28 lipca 2022</w:t>
      </w:r>
      <w:r w:rsidR="009152EC">
        <w:rPr>
          <w:rFonts w:ascii="Times" w:hAnsi="Times" w:cs="Arial"/>
          <w:bCs/>
          <w:szCs w:val="20"/>
        </w:rPr>
        <w:t xml:space="preserve"> r. w </w:t>
      </w:r>
      <w:r w:rsidRPr="0005069D">
        <w:rPr>
          <w:rFonts w:ascii="Times" w:hAnsi="Times" w:cs="Arial"/>
          <w:bCs/>
          <w:szCs w:val="20"/>
        </w:rPr>
        <w:t xml:space="preserve">sprawie ogłoszenia wymagań ustanowionych przez Organizację Międzynarodowego Lotnictwa Cywilnego (ICAO) w Doc. 9906 – Podręcznik zapewniania jakości </w:t>
      </w:r>
      <w:r w:rsidR="001239D4">
        <w:rPr>
          <w:rFonts w:ascii="Times" w:hAnsi="Times" w:cs="Arial"/>
          <w:bCs/>
          <w:szCs w:val="20"/>
        </w:rPr>
        <w:t xml:space="preserve">w </w:t>
      </w:r>
      <w:r w:rsidR="001239D4">
        <w:rPr>
          <w:rFonts w:ascii="Times" w:hAnsi="Times" w:cs="Arial"/>
          <w:bCs/>
          <w:szCs w:val="20"/>
        </w:rPr>
        <w:lastRenderedPageBreak/>
        <w:t xml:space="preserve">procesie </w:t>
      </w:r>
      <w:r w:rsidRPr="0005069D">
        <w:rPr>
          <w:rFonts w:ascii="Times" w:hAnsi="Times" w:cs="Arial"/>
          <w:bCs/>
          <w:szCs w:val="20"/>
        </w:rPr>
        <w:t>projektowania procedur lotu, tom 5 „Walidacja instrumentalnych procedur lotu” (Dz. Urz. ULC poz. 44)</w:t>
      </w:r>
    </w:p>
    <w:p w14:paraId="43F06C3E" w14:textId="7B0ACAC3" w:rsidR="0005069D" w:rsidRPr="0005069D" w:rsidRDefault="0005069D" w:rsidP="0005069D">
      <w:pPr>
        <w:spacing w:before="120" w:after="120" w:line="360" w:lineRule="auto"/>
        <w:jc w:val="both"/>
      </w:pPr>
      <w:r w:rsidRPr="0005069D">
        <w:rPr>
          <w:rFonts w:cs="Arial"/>
          <w:szCs w:val="20"/>
        </w:rPr>
        <w:t xml:space="preserve">– w zakresie </w:t>
      </w:r>
      <w:bookmarkStart w:id="4" w:name="_Hlk68090343"/>
      <w:r w:rsidRPr="0005069D">
        <w:rPr>
          <w:rFonts w:cs="Arial"/>
          <w:szCs w:val="20"/>
        </w:rPr>
        <w:t>procedur służb żeglugi powietrznej</w:t>
      </w:r>
      <w:bookmarkEnd w:id="4"/>
      <w:r w:rsidR="009152EC">
        <w:rPr>
          <w:rFonts w:cs="Arial"/>
          <w:szCs w:val="20"/>
        </w:rPr>
        <w:t>.</w:t>
      </w:r>
    </w:p>
    <w:p w14:paraId="6B1E2814" w14:textId="29EC03C3" w:rsidR="00564397" w:rsidRPr="0005069D" w:rsidRDefault="00564397" w:rsidP="0005069D">
      <w:pPr>
        <w:spacing w:before="120" w:after="120" w:line="360" w:lineRule="auto"/>
        <w:jc w:val="both"/>
      </w:pPr>
      <w:r w:rsidRPr="0005069D">
        <w:t xml:space="preserve">Przepis § 2 </w:t>
      </w:r>
      <w:r w:rsidR="003B4DC0">
        <w:t xml:space="preserve">projektowanego rozporządzenia </w:t>
      </w:r>
      <w:r w:rsidRPr="0005069D">
        <w:t>stanowi, że kompetencje i obowiązki „właściwej władzy” oraz „właściwej władzy ATS”, o których mowa w ww. dokumentach, wykonuje instytucja zapew</w:t>
      </w:r>
      <w:r w:rsidR="005D7E30">
        <w:t>niająca służby ruchu lotniczego</w:t>
      </w:r>
      <w:r w:rsidRPr="0005069D">
        <w:t xml:space="preserve"> wyznaczona</w:t>
      </w:r>
      <w:r w:rsidR="005D7E30">
        <w:t>,</w:t>
      </w:r>
      <w:bookmarkStart w:id="5" w:name="_GoBack"/>
      <w:bookmarkEnd w:id="5"/>
      <w:r w:rsidR="00572E0F">
        <w:t xml:space="preserve"> na podstawie art. 127 ust. 2 ustawy – Prawo lotnicze,</w:t>
      </w:r>
      <w:r w:rsidRPr="0005069D">
        <w:t xml:space="preserve"> </w:t>
      </w:r>
      <w:r w:rsidR="00572E0F">
        <w:t>w sposób określony w</w:t>
      </w:r>
      <w:r w:rsidRPr="0005069D">
        <w:t xml:space="preserve"> przepisa</w:t>
      </w:r>
      <w:r w:rsidR="00572E0F">
        <w:t>ch</w:t>
      </w:r>
      <w:r w:rsidRPr="0005069D">
        <w:t xml:space="preserve"> wydany</w:t>
      </w:r>
      <w:r w:rsidR="00572E0F">
        <w:t>ch</w:t>
      </w:r>
      <w:r w:rsidRPr="0005069D">
        <w:t xml:space="preserve"> na pod</w:t>
      </w:r>
      <w:r w:rsidR="009152EC">
        <w:t>stawie art. 128 ustawy z dnia 3</w:t>
      </w:r>
      <w:r w:rsidR="003B4DC0">
        <w:t xml:space="preserve"> </w:t>
      </w:r>
      <w:r w:rsidRPr="0005069D">
        <w:t>lipca 2002 r. – Prawo lotnicze.</w:t>
      </w:r>
    </w:p>
    <w:p w14:paraId="12CFD979" w14:textId="7B57430F" w:rsidR="00122E55" w:rsidRPr="0005069D" w:rsidRDefault="00122E55" w:rsidP="0005069D">
      <w:pPr>
        <w:spacing w:before="120" w:after="120" w:line="360" w:lineRule="auto"/>
        <w:jc w:val="both"/>
      </w:pPr>
      <w:r w:rsidRPr="0005069D">
        <w:t xml:space="preserve">Przepis § 3 </w:t>
      </w:r>
      <w:r w:rsidR="003B4DC0">
        <w:t xml:space="preserve">projektowanego rozporządzenia </w:t>
      </w:r>
      <w:r w:rsidRPr="0005069D">
        <w:t xml:space="preserve">odnosi się do </w:t>
      </w:r>
      <w:r w:rsidR="006C2096" w:rsidRPr="0005069D">
        <w:t xml:space="preserve">przywoływanych w treści ww. Doc 9906 tom </w:t>
      </w:r>
      <w:r w:rsidR="001239D4">
        <w:t>1</w:t>
      </w:r>
      <w:r w:rsidR="001239D4" w:rsidRPr="0005069D">
        <w:t xml:space="preserve"> </w:t>
      </w:r>
      <w:r w:rsidR="006C2096" w:rsidRPr="0005069D">
        <w:t>norm ISO 9000:2000 oraz ISO 9001:2000 definiujących sposób i zasady zarządzania jakością. Biorąc pod uwagę, że opublikowane w Dz</w:t>
      </w:r>
      <w:r w:rsidR="00C74800">
        <w:t>ienniku</w:t>
      </w:r>
      <w:r w:rsidR="006C2096" w:rsidRPr="0005069D">
        <w:t xml:space="preserve"> Urz</w:t>
      </w:r>
      <w:r w:rsidR="00C74800">
        <w:t>ędowym</w:t>
      </w:r>
      <w:r w:rsidR="006C2096" w:rsidRPr="0005069D">
        <w:t xml:space="preserve"> </w:t>
      </w:r>
      <w:r w:rsidR="001239D4" w:rsidRPr="0005069D">
        <w:t>U</w:t>
      </w:r>
      <w:r w:rsidR="001239D4">
        <w:t xml:space="preserve">rzędu </w:t>
      </w:r>
      <w:r w:rsidR="006C2096" w:rsidRPr="0005069D">
        <w:t>L</w:t>
      </w:r>
      <w:r w:rsidR="00C74800">
        <w:t xml:space="preserve">otnictwa </w:t>
      </w:r>
      <w:r w:rsidR="006C2096" w:rsidRPr="0005069D">
        <w:t>C</w:t>
      </w:r>
      <w:r w:rsidR="00C74800">
        <w:t>ywilnego</w:t>
      </w:r>
      <w:r w:rsidR="006C2096" w:rsidRPr="0005069D">
        <w:t xml:space="preserve"> </w:t>
      </w:r>
      <w:r w:rsidR="003C3B8A" w:rsidRPr="0005069D">
        <w:t xml:space="preserve">wydanie pierwsze Doc 9906 tom </w:t>
      </w:r>
      <w:r w:rsidR="001239D4">
        <w:t>1</w:t>
      </w:r>
      <w:r w:rsidR="001239D4" w:rsidRPr="0005069D">
        <w:t xml:space="preserve"> </w:t>
      </w:r>
      <w:r w:rsidR="003C3B8A" w:rsidRPr="0005069D">
        <w:t>jest</w:t>
      </w:r>
      <w:r w:rsidR="00C74800">
        <w:t xml:space="preserve"> </w:t>
      </w:r>
      <w:r w:rsidR="003C3B8A" w:rsidRPr="0005069D">
        <w:t xml:space="preserve">wydaniem </w:t>
      </w:r>
      <w:r w:rsidR="00C74800">
        <w:t>aktualnym</w:t>
      </w:r>
      <w:r w:rsidR="003C3B8A" w:rsidRPr="0005069D">
        <w:t xml:space="preserve">, oraz fakt, że powołane w nim normy ISO </w:t>
      </w:r>
      <w:r w:rsidR="00235AA8" w:rsidRPr="0005069D">
        <w:t>są</w:t>
      </w:r>
      <w:r w:rsidR="009152EC">
        <w:t xml:space="preserve"> nieaktualne i</w:t>
      </w:r>
      <w:r w:rsidR="00D30FF3">
        <w:t xml:space="preserve"> </w:t>
      </w:r>
      <w:r w:rsidR="003C3B8A" w:rsidRPr="0005069D">
        <w:t xml:space="preserve">zostały zastąpione nowymi, które podlegają i będą podlegały kolejnym aktualizacjom, w ocenie projektodawcy zasadne jest wprowadzenie do projektu przepisu </w:t>
      </w:r>
      <w:r w:rsidR="000A3F61" w:rsidRPr="0005069D">
        <w:t xml:space="preserve">stanowiącego odesłanie dynamiczne do </w:t>
      </w:r>
      <w:r w:rsidR="00CE22A2" w:rsidRPr="0005069D">
        <w:t>Polskich Norm</w:t>
      </w:r>
      <w:r w:rsidR="000A3F61" w:rsidRPr="0005069D">
        <w:t xml:space="preserve"> obowiązujących z zakresu sposobów i zasad zarządzania jakością.</w:t>
      </w:r>
    </w:p>
    <w:p w14:paraId="06F6DB5F" w14:textId="709A7DBA" w:rsidR="008D571C" w:rsidRPr="0005069D" w:rsidRDefault="008D571C" w:rsidP="0005069D">
      <w:pPr>
        <w:spacing w:before="120" w:after="120" w:line="360" w:lineRule="auto"/>
        <w:jc w:val="both"/>
      </w:pPr>
      <w:r w:rsidRPr="0005069D">
        <w:t xml:space="preserve">Projektowane przepisy w praktyce są obecnie stosowane przez instytucje zapewniające służby żeglugi powietrznej oraz zarządzających lotniskami, ponieważ </w:t>
      </w:r>
      <w:r w:rsidR="0009204B">
        <w:t>wprowadzane do stosowania dokumenty ICAO</w:t>
      </w:r>
      <w:r w:rsidRPr="0005069D">
        <w:t xml:space="preserve"> funkcjonował</w:t>
      </w:r>
      <w:r w:rsidR="0009204B">
        <w:t>y</w:t>
      </w:r>
      <w:r w:rsidRPr="0005069D">
        <w:t xml:space="preserve"> dotychczas w krajowym porządku prawnym pod postacią wytycznych Prezesa Urzędu Lotnictwa Cywilnego. Biorąc powyższe pod uwagę, w ocenie projektodawcy</w:t>
      </w:r>
      <w:r w:rsidR="009152EC">
        <w:t>,</w:t>
      </w:r>
      <w:r w:rsidRPr="0005069D">
        <w:t xml:space="preserve"> zamieszczenie przepisów przejściowych i dostosowujących w projekcie rozporządzenia nie jest konieczne.</w:t>
      </w:r>
    </w:p>
    <w:p w14:paraId="474A6DFB" w14:textId="3E12CDE2" w:rsidR="008D571C" w:rsidRPr="0005069D" w:rsidRDefault="00E90CC2" w:rsidP="0005069D">
      <w:pPr>
        <w:spacing w:before="120" w:after="120" w:line="360" w:lineRule="auto"/>
        <w:jc w:val="both"/>
      </w:pPr>
      <w:r>
        <w:t>Z</w:t>
      </w:r>
      <w:r w:rsidRPr="006144E4">
        <w:t>godnie z § 4</w:t>
      </w:r>
      <w:r w:rsidR="006C0357">
        <w:t xml:space="preserve"> projektowanego rozporządzenia</w:t>
      </w:r>
      <w:r w:rsidR="009152EC">
        <w:t xml:space="preserve">, </w:t>
      </w:r>
      <w:r w:rsidRPr="006144E4">
        <w:t xml:space="preserve">wejdzie </w:t>
      </w:r>
      <w:r w:rsidR="006C0357">
        <w:t xml:space="preserve">ono </w:t>
      </w:r>
      <w:r w:rsidRPr="006144E4">
        <w:t>w życie po upływie 14 dni od dnia ogłoszenia.</w:t>
      </w:r>
      <w:r>
        <w:t xml:space="preserve"> Z</w:t>
      </w:r>
      <w:r w:rsidR="006C0357">
        <w:t xml:space="preserve"> </w:t>
      </w:r>
      <w:r w:rsidR="008D571C" w:rsidRPr="0005069D">
        <w:t xml:space="preserve">uwagi na </w:t>
      </w:r>
      <w:r>
        <w:t>wyżej wspomniane funkcjonowanie w praktyce wprowadzanych przepisów</w:t>
      </w:r>
      <w:r w:rsidR="008D571C" w:rsidRPr="0005069D">
        <w:t>, w ocenie projektodawcy</w:t>
      </w:r>
      <w:r w:rsidR="006C0357">
        <w:t>,</w:t>
      </w:r>
      <w:r w:rsidR="008D571C" w:rsidRPr="0005069D">
        <w:t xml:space="preserve"> 14-dniowy okres </w:t>
      </w:r>
      <w:r w:rsidR="008D571C" w:rsidRPr="00BE1C5E">
        <w:rPr>
          <w:i/>
        </w:rPr>
        <w:t>vacatio legis</w:t>
      </w:r>
      <w:r w:rsidR="008D571C" w:rsidRPr="0005069D">
        <w:t xml:space="preserve"> jest wystarczający</w:t>
      </w:r>
      <w:r>
        <w:t>.</w:t>
      </w:r>
    </w:p>
    <w:p w14:paraId="17E81AEE" w14:textId="2592F5A9" w:rsidR="001D326D" w:rsidRPr="0005069D" w:rsidRDefault="008D571C" w:rsidP="0005069D">
      <w:pPr>
        <w:spacing w:before="120" w:after="120" w:line="360" w:lineRule="auto"/>
        <w:jc w:val="both"/>
      </w:pPr>
      <w:r w:rsidRPr="0005069D">
        <w:t>Nie ma możliwości osiągnięcia celu projektu za pomocą innych środków niż wydanie projektowanego rozporządzenia.</w:t>
      </w:r>
    </w:p>
    <w:p w14:paraId="2822C56A" w14:textId="72712912" w:rsidR="00564397" w:rsidRPr="0005069D" w:rsidRDefault="00564397" w:rsidP="00BE1C5E">
      <w:pPr>
        <w:tabs>
          <w:tab w:val="left" w:pos="567"/>
        </w:tabs>
        <w:spacing w:before="120" w:after="120" w:line="360" w:lineRule="auto"/>
        <w:jc w:val="both"/>
        <w:rPr>
          <w:rStyle w:val="Ppogrubienie"/>
        </w:rPr>
      </w:pPr>
      <w:r w:rsidRPr="0005069D">
        <w:rPr>
          <w:rStyle w:val="Ppogrubienie"/>
        </w:rPr>
        <w:t>III.</w:t>
      </w:r>
      <w:r w:rsidR="000C3BEF">
        <w:rPr>
          <w:rStyle w:val="Ppogrubienie"/>
        </w:rPr>
        <w:tab/>
      </w:r>
      <w:r w:rsidRPr="0005069D">
        <w:rPr>
          <w:rStyle w:val="Ppogrubienie"/>
        </w:rPr>
        <w:t>Przewidywane skutki finansowe i prawne wejścia w życie rozporządzenia</w:t>
      </w:r>
    </w:p>
    <w:p w14:paraId="618C4860" w14:textId="7A418CCC" w:rsidR="00564397" w:rsidRPr="0005069D" w:rsidRDefault="00564397" w:rsidP="0005069D">
      <w:pPr>
        <w:spacing w:before="120" w:after="120" w:line="360" w:lineRule="auto"/>
        <w:jc w:val="both"/>
      </w:pPr>
      <w:r w:rsidRPr="0005069D">
        <w:t xml:space="preserve">Wejście w życie </w:t>
      </w:r>
      <w:r w:rsidR="00582FD1">
        <w:t xml:space="preserve">projektowanego </w:t>
      </w:r>
      <w:r w:rsidRPr="0005069D">
        <w:t xml:space="preserve">rozporządzenia nie </w:t>
      </w:r>
      <w:r w:rsidR="00582FD1">
        <w:t>s</w:t>
      </w:r>
      <w:r w:rsidRPr="0005069D">
        <w:t>powoduje dodatkowych obciążeń finansowych dla</w:t>
      </w:r>
      <w:r w:rsidR="006E641B">
        <w:t xml:space="preserve"> sektora finansów publicznych.</w:t>
      </w:r>
    </w:p>
    <w:p w14:paraId="5FE56AC7" w14:textId="48F872F6" w:rsidR="00564397" w:rsidRDefault="00564397" w:rsidP="0005069D">
      <w:pPr>
        <w:spacing w:before="120" w:after="120" w:line="360" w:lineRule="auto"/>
        <w:jc w:val="both"/>
      </w:pPr>
      <w:r w:rsidRPr="0005069D">
        <w:t>Rozwiązania zawarte w projek</w:t>
      </w:r>
      <w:r w:rsidR="00943975">
        <w:t>towanym</w:t>
      </w:r>
      <w:r w:rsidRPr="0005069D">
        <w:t xml:space="preserve"> rozporządzeni</w:t>
      </w:r>
      <w:r w:rsidR="00943975">
        <w:t>u</w:t>
      </w:r>
      <w:r w:rsidRPr="0005069D">
        <w:t xml:space="preserve"> nie będą miały wpływu na działalność mikroprzedsiębiorców, małych i średnich przedsiębiorców.</w:t>
      </w:r>
    </w:p>
    <w:p w14:paraId="4F4241D5" w14:textId="0B963B4D" w:rsidR="00B03124" w:rsidRPr="00B03124" w:rsidRDefault="00B03124" w:rsidP="00BE1C5E">
      <w:pPr>
        <w:tabs>
          <w:tab w:val="left" w:pos="567"/>
        </w:tabs>
        <w:spacing w:before="120" w:after="120" w:line="360" w:lineRule="auto"/>
        <w:jc w:val="both"/>
        <w:rPr>
          <w:b/>
        </w:rPr>
      </w:pPr>
      <w:r>
        <w:rPr>
          <w:b/>
        </w:rPr>
        <w:lastRenderedPageBreak/>
        <w:t>I</w:t>
      </w:r>
      <w:r w:rsidRPr="00B03124">
        <w:rPr>
          <w:b/>
        </w:rPr>
        <w:t>V.</w:t>
      </w:r>
      <w:r w:rsidRPr="00B03124">
        <w:rPr>
          <w:b/>
        </w:rPr>
        <w:tab/>
        <w:t>Oświadczenie organu wnioskującego co do zgodności projektu z prawem Unii Europejskiej</w:t>
      </w:r>
    </w:p>
    <w:p w14:paraId="3BE475DA" w14:textId="77777777" w:rsidR="00B03124" w:rsidRPr="00B03124" w:rsidRDefault="00B03124" w:rsidP="00B03124">
      <w:pPr>
        <w:spacing w:before="120" w:after="120" w:line="360" w:lineRule="auto"/>
        <w:jc w:val="both"/>
      </w:pPr>
      <w:r w:rsidRPr="00B03124">
        <w:t>Projekt rozporządzenia jest zgodny z prawem Unii Europejskiej.</w:t>
      </w:r>
    </w:p>
    <w:p w14:paraId="043E27F7" w14:textId="6632D1B5" w:rsidR="00B03124" w:rsidRPr="00B03124" w:rsidRDefault="00B03124" w:rsidP="00BE1C5E">
      <w:pPr>
        <w:tabs>
          <w:tab w:val="left" w:pos="567"/>
        </w:tabs>
        <w:spacing w:before="120" w:after="120" w:line="360" w:lineRule="auto"/>
        <w:jc w:val="both"/>
        <w:rPr>
          <w:b/>
        </w:rPr>
      </w:pPr>
      <w:r w:rsidRPr="00B03124">
        <w:rPr>
          <w:b/>
        </w:rPr>
        <w:t>V.</w:t>
      </w:r>
      <w:r w:rsidRPr="00B03124">
        <w:rPr>
          <w:b/>
        </w:rPr>
        <w:tab/>
        <w:t>Ocena organu wnioskującego, czy projekt podlega notyfikacji zgodnie z przepisami dotyczącymi funkcjonowania krajowego systemu notyfikacji norm i aktów prawnych</w:t>
      </w:r>
    </w:p>
    <w:p w14:paraId="5F8FF2D7" w14:textId="086FE135" w:rsidR="00B03124" w:rsidRPr="00B03124" w:rsidRDefault="00B03124" w:rsidP="00B03124">
      <w:pPr>
        <w:spacing w:before="120" w:after="120" w:line="360" w:lineRule="auto"/>
        <w:jc w:val="both"/>
      </w:pPr>
      <w:r w:rsidRPr="00B03124">
        <w:t>Regulacje zawarte w projek</w:t>
      </w:r>
      <w:r w:rsidR="004C40CD">
        <w:t>cie</w:t>
      </w:r>
      <w:r w:rsidRPr="00B03124">
        <w:t xml:space="preserve"> rozporządzeni</w:t>
      </w:r>
      <w:r w:rsidR="004C40CD">
        <w:t>a</w:t>
      </w:r>
      <w:r w:rsidRPr="00B03124">
        <w:t xml:space="preserve"> nie stanowią przepisów technicznych w rozumieniu rozporządzenia Rady Ministrów z dnia 23 grudnia 2002 r. w sprawie sposobu funkcjonowania krajowego systemu notyfikacji norm i aktów prawnych (Dz. U poz. 2039, z późn. zm.</w:t>
      </w:r>
      <w:r w:rsidR="004C40CD">
        <w:t>), zatem nie podlega on</w:t>
      </w:r>
      <w:r w:rsidRPr="00B03124">
        <w:t xml:space="preserve"> notyfikacji.</w:t>
      </w:r>
    </w:p>
    <w:p w14:paraId="147606BC" w14:textId="24868909" w:rsidR="00564397" w:rsidRPr="0005069D" w:rsidRDefault="00B03124" w:rsidP="00BE1C5E">
      <w:pPr>
        <w:tabs>
          <w:tab w:val="left" w:pos="567"/>
        </w:tabs>
        <w:spacing w:before="120" w:after="120" w:line="360" w:lineRule="auto"/>
        <w:jc w:val="both"/>
        <w:rPr>
          <w:rStyle w:val="Ppogrubienie"/>
        </w:rPr>
      </w:pPr>
      <w:r>
        <w:rPr>
          <w:rStyle w:val="Ppogrubienie"/>
        </w:rPr>
        <w:t>V</w:t>
      </w:r>
      <w:r w:rsidR="00564397" w:rsidRPr="0005069D">
        <w:rPr>
          <w:rStyle w:val="Ppogrubienie"/>
        </w:rPr>
        <w:t>I.</w:t>
      </w:r>
      <w:r w:rsidR="00564397" w:rsidRPr="0005069D">
        <w:rPr>
          <w:rStyle w:val="Ppogrubienie"/>
        </w:rPr>
        <w:tab/>
        <w:t>Przedstawienie projektu właściwym organom i instytucjom Unii Europejskiej, w tym Europejskiemu Bankowi Centralnemu, w celu uzyskania opinii, dokonania powiadomienia, konsultacji albo uzgodnienia, jeżeli obowiązek taki wynika z odrębnych przepisów</w:t>
      </w:r>
    </w:p>
    <w:p w14:paraId="39865BF6" w14:textId="69B65B95" w:rsidR="00564397" w:rsidRPr="0005069D" w:rsidRDefault="00564397" w:rsidP="0005069D">
      <w:pPr>
        <w:spacing w:before="120" w:after="120" w:line="360" w:lineRule="auto"/>
        <w:jc w:val="both"/>
      </w:pPr>
      <w:r w:rsidRPr="0005069D">
        <w:t xml:space="preserve">Projekt rozporządzenia nie wymaga przedstawienia właściwym </w:t>
      </w:r>
      <w:r w:rsidR="009152EC" w:rsidRPr="0005069D">
        <w:t xml:space="preserve">organom </w:t>
      </w:r>
      <w:r w:rsidR="009152EC">
        <w:t xml:space="preserve">i </w:t>
      </w:r>
      <w:r w:rsidRPr="0005069D">
        <w:t xml:space="preserve">instytucjom </w:t>
      </w:r>
      <w:r w:rsidR="009152EC">
        <w:t>U</w:t>
      </w:r>
      <w:r w:rsidRPr="0005069D">
        <w:t xml:space="preserve">nii Europejskiej, w tym Europejskiemu Bankowi Centralnemu, w celu uzyskania opinii, dokonania </w:t>
      </w:r>
      <w:r w:rsidR="00631F3E">
        <w:t xml:space="preserve">powiadomienia, </w:t>
      </w:r>
      <w:r w:rsidRPr="0005069D">
        <w:t>konsultacji albo uzgodnienia.</w:t>
      </w:r>
    </w:p>
    <w:p w14:paraId="1D2BBA3D" w14:textId="5843F735" w:rsidR="00564397" w:rsidRPr="0005069D" w:rsidRDefault="00564397" w:rsidP="00BE1C5E">
      <w:pPr>
        <w:tabs>
          <w:tab w:val="left" w:pos="567"/>
        </w:tabs>
        <w:spacing w:before="120" w:after="120" w:line="360" w:lineRule="auto"/>
        <w:jc w:val="both"/>
        <w:rPr>
          <w:rStyle w:val="Ppogrubienie"/>
        </w:rPr>
      </w:pPr>
      <w:r w:rsidRPr="0005069D">
        <w:rPr>
          <w:rStyle w:val="Ppogrubienie"/>
        </w:rPr>
        <w:t>V</w:t>
      </w:r>
      <w:r w:rsidR="00B03124">
        <w:rPr>
          <w:rStyle w:val="Ppogrubienie"/>
        </w:rPr>
        <w:t>II</w:t>
      </w:r>
      <w:r w:rsidRPr="0005069D">
        <w:rPr>
          <w:rStyle w:val="Ppogrubienie"/>
        </w:rPr>
        <w:t>.</w:t>
      </w:r>
      <w:r w:rsidRPr="0005069D">
        <w:rPr>
          <w:rStyle w:val="Ppogrubienie"/>
        </w:rPr>
        <w:tab/>
        <w:t>Udostępnienie w Biuletynie Informacji Publicznej</w:t>
      </w:r>
    </w:p>
    <w:p w14:paraId="2E48AC73" w14:textId="0535C0D4" w:rsidR="001D326D" w:rsidRPr="0005069D" w:rsidRDefault="008D571C" w:rsidP="006E641B">
      <w:pPr>
        <w:spacing w:before="120" w:after="120" w:line="360" w:lineRule="auto"/>
        <w:jc w:val="both"/>
      </w:pPr>
      <w:r w:rsidRPr="0005069D">
        <w:t>Stosownie do art. 5 ustawy z dnia 7 lipca 2005 r. o działalności lobbingowej w procesie stanowienia prawa (Dz. U. z 2017 r. poz. 248) oraz zgodnie z § 52 uchwały nr 190 Rady Ministrów z dnia 29 października 2013 r. – Regulamin pracy Rady Ministrów (M.P. z 2022 r. poz. 348), projekt rozporządzenia zostanie udostępniony w Biuletynie Informacji Publicznej na stronie podmiotowej Rządowego Centrum Legislacji w serwisie Rządowy Proces Legislacyjny.</w:t>
      </w:r>
    </w:p>
    <w:sectPr w:rsidR="001D326D" w:rsidRPr="0005069D" w:rsidSect="00FC689C">
      <w:pgSz w:w="11906" w:h="16838"/>
      <w:pgMar w:top="1134" w:right="1134"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6E41F" w16cex:dateUtc="2023-06-28T14:53:00Z"/>
  <w16cex:commentExtensible w16cex:durableId="2846C307" w16cex:dateUtc="2023-06-28T12:32:00Z"/>
  <w16cex:commentExtensible w16cex:durableId="2846C37A" w16cex:dateUtc="2023-06-28T12:34:00Z"/>
  <w16cex:commentExtensible w16cex:durableId="2846C3B9" w16cex:dateUtc="2023-06-28T12:35:00Z"/>
  <w16cex:commentExtensible w16cex:durableId="2846C41D" w16cex:dateUtc="2023-06-28T12:37:00Z"/>
  <w16cex:commentExtensible w16cex:durableId="2846DE00" w16cex:dateUtc="2023-06-28T14:27:00Z"/>
  <w16cex:commentExtensible w16cex:durableId="286509BF" w16cex:dateUtc="2023-07-21T11:42:00Z"/>
  <w16cex:commentExtensible w16cex:durableId="2846E0EE" w16cex:dateUtc="2023-06-28T14:40:00Z"/>
  <w16cex:commentExtensible w16cex:durableId="2846E2D7" w16cex:dateUtc="2023-06-28T14:48:00Z"/>
  <w16cex:commentExtensible w16cex:durableId="2846E395" w16cex:dateUtc="2023-06-28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2EB36" w16cid:durableId="2846C2E1"/>
  <w16cid:commentId w16cid:paraId="51F843E4" w16cid:durableId="2846E41F"/>
  <w16cid:commentId w16cid:paraId="33CCA2E7" w16cid:durableId="286A16A0"/>
  <w16cid:commentId w16cid:paraId="4FA8B797" w16cid:durableId="2846C2E2"/>
  <w16cid:commentId w16cid:paraId="48A7F084" w16cid:durableId="2846C307"/>
  <w16cid:commentId w16cid:paraId="76FFEE69" w16cid:durableId="286A16AB"/>
  <w16cid:commentId w16cid:paraId="763F96BB" w16cid:durableId="2846C2E4"/>
  <w16cid:commentId w16cid:paraId="29F4D2C8" w16cid:durableId="2846C37A"/>
  <w16cid:commentId w16cid:paraId="5BAB6301" w16cid:durableId="286A259B"/>
  <w16cid:commentId w16cid:paraId="26A743B8" w16cid:durableId="2846C2E6"/>
  <w16cid:commentId w16cid:paraId="130ABA78" w16cid:durableId="2846C3B9"/>
  <w16cid:commentId w16cid:paraId="4A38ACF6" w16cid:durableId="2846C2E7"/>
  <w16cid:commentId w16cid:paraId="767E36F6" w16cid:durableId="2846C41D"/>
  <w16cid:commentId w16cid:paraId="6A187AB8" w16cid:durableId="2846C2E9"/>
  <w16cid:commentId w16cid:paraId="24A4D216" w16cid:durableId="2846DE00"/>
  <w16cid:commentId w16cid:paraId="3B2D5C68" w16cid:durableId="286A25D5"/>
  <w16cid:commentId w16cid:paraId="371360D4" w16cid:durableId="2846C2EB"/>
  <w16cid:commentId w16cid:paraId="6987FEC8" w16cid:durableId="286509BF"/>
  <w16cid:commentId w16cid:paraId="6CD8F553" w16cid:durableId="2846C2ED"/>
  <w16cid:commentId w16cid:paraId="60631BE2" w16cid:durableId="2846E0EE"/>
  <w16cid:commentId w16cid:paraId="72146DD5" w16cid:durableId="286A24F8"/>
  <w16cid:commentId w16cid:paraId="2A1F4DCA" w16cid:durableId="2846C2EF"/>
  <w16cid:commentId w16cid:paraId="0F297040" w16cid:durableId="2846E2D7"/>
  <w16cid:commentId w16cid:paraId="279E2B78" w16cid:durableId="2846C2F1"/>
  <w16cid:commentId w16cid:paraId="593576CE" w16cid:durableId="2846E3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8139B" w14:textId="77777777" w:rsidR="00E22BD9" w:rsidRDefault="00E22BD9">
      <w:r>
        <w:separator/>
      </w:r>
    </w:p>
  </w:endnote>
  <w:endnote w:type="continuationSeparator" w:id="0">
    <w:p w14:paraId="7A57A622" w14:textId="77777777" w:rsidR="00E22BD9" w:rsidRDefault="00E2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B6726" w14:textId="77777777" w:rsidR="00E22BD9" w:rsidRDefault="00E22BD9">
      <w:r>
        <w:separator/>
      </w:r>
    </w:p>
  </w:footnote>
  <w:footnote w:type="continuationSeparator" w:id="0">
    <w:p w14:paraId="0921AA65" w14:textId="77777777" w:rsidR="00E22BD9" w:rsidRDefault="00E22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2CC4"/>
    <w:multiLevelType w:val="hybridMultilevel"/>
    <w:tmpl w:val="4DBA66EC"/>
    <w:lvl w:ilvl="0" w:tplc="E20472D8">
      <w:start w:val="1"/>
      <w:numFmt w:val="decimal"/>
      <w:lvlText w:val="%1)"/>
      <w:lvlJc w:val="left"/>
      <w:pPr>
        <w:tabs>
          <w:tab w:val="num" w:pos="1440"/>
        </w:tabs>
        <w:ind w:left="144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E5945"/>
    <w:multiLevelType w:val="singleLevel"/>
    <w:tmpl w:val="04150011"/>
    <w:lvl w:ilvl="0">
      <w:start w:val="1"/>
      <w:numFmt w:val="decimal"/>
      <w:lvlText w:val="%1)"/>
      <w:lvlJc w:val="left"/>
      <w:pPr>
        <w:tabs>
          <w:tab w:val="num" w:pos="360"/>
        </w:tabs>
        <w:ind w:left="360" w:hanging="360"/>
      </w:pPr>
      <w:rPr>
        <w:rFonts w:hint="default"/>
      </w:rPr>
    </w:lvl>
  </w:abstractNum>
  <w:abstractNum w:abstractNumId="2" w15:restartNumberingAfterBreak="0">
    <w:nsid w:val="13AA141E"/>
    <w:multiLevelType w:val="hybridMultilevel"/>
    <w:tmpl w:val="F6BC25F6"/>
    <w:lvl w:ilvl="0" w:tplc="9FB44D86">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033FD5"/>
    <w:multiLevelType w:val="multilevel"/>
    <w:tmpl w:val="EDB82C9C"/>
    <w:lvl w:ilvl="0">
      <w:start w:val="1"/>
      <w:numFmt w:val="bullet"/>
      <w:lvlText w:val="—"/>
      <w:lvlJc w:val="left"/>
      <w:pPr>
        <w:tabs>
          <w:tab w:val="num" w:pos="1439"/>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E094E"/>
    <w:multiLevelType w:val="hybridMultilevel"/>
    <w:tmpl w:val="DACECC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604AD8"/>
    <w:multiLevelType w:val="hybridMultilevel"/>
    <w:tmpl w:val="EDB82C9C"/>
    <w:lvl w:ilvl="0" w:tplc="095A100A">
      <w:start w:val="1"/>
      <w:numFmt w:val="bullet"/>
      <w:lvlText w:val="—"/>
      <w:lvlJc w:val="left"/>
      <w:pPr>
        <w:tabs>
          <w:tab w:val="num" w:pos="1439"/>
        </w:tabs>
        <w:ind w:left="144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1D22F3"/>
    <w:multiLevelType w:val="hybridMultilevel"/>
    <w:tmpl w:val="860267F6"/>
    <w:lvl w:ilvl="0" w:tplc="A0DCAF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9B00908"/>
    <w:multiLevelType w:val="hybridMultilevel"/>
    <w:tmpl w:val="46A6A4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ED4F30"/>
    <w:multiLevelType w:val="hybridMultilevel"/>
    <w:tmpl w:val="58F4176A"/>
    <w:lvl w:ilvl="0" w:tplc="B978BC5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332"/>
    <w:rsid w:val="00001388"/>
    <w:rsid w:val="000024EC"/>
    <w:rsid w:val="00004F65"/>
    <w:rsid w:val="0000516B"/>
    <w:rsid w:val="00016A41"/>
    <w:rsid w:val="00017010"/>
    <w:rsid w:val="000256FC"/>
    <w:rsid w:val="000413D8"/>
    <w:rsid w:val="000474D5"/>
    <w:rsid w:val="0005069D"/>
    <w:rsid w:val="00062840"/>
    <w:rsid w:val="000640D6"/>
    <w:rsid w:val="00075287"/>
    <w:rsid w:val="000835A1"/>
    <w:rsid w:val="00087D62"/>
    <w:rsid w:val="0009204B"/>
    <w:rsid w:val="00097146"/>
    <w:rsid w:val="000A131D"/>
    <w:rsid w:val="000A3F61"/>
    <w:rsid w:val="000B712A"/>
    <w:rsid w:val="000C3BEF"/>
    <w:rsid w:val="000C5F8A"/>
    <w:rsid w:val="000D7FAE"/>
    <w:rsid w:val="000E7697"/>
    <w:rsid w:val="000F415D"/>
    <w:rsid w:val="00107CF5"/>
    <w:rsid w:val="00122E55"/>
    <w:rsid w:val="001239D4"/>
    <w:rsid w:val="00141821"/>
    <w:rsid w:val="0015429A"/>
    <w:rsid w:val="00174D9D"/>
    <w:rsid w:val="001802F9"/>
    <w:rsid w:val="00182337"/>
    <w:rsid w:val="00183A53"/>
    <w:rsid w:val="00187332"/>
    <w:rsid w:val="001969D1"/>
    <w:rsid w:val="001B6CE3"/>
    <w:rsid w:val="001C0E96"/>
    <w:rsid w:val="001D326D"/>
    <w:rsid w:val="001E538A"/>
    <w:rsid w:val="00225E8B"/>
    <w:rsid w:val="002338B7"/>
    <w:rsid w:val="00235AA8"/>
    <w:rsid w:val="00237D03"/>
    <w:rsid w:val="002514FA"/>
    <w:rsid w:val="002A0D15"/>
    <w:rsid w:val="002A68BA"/>
    <w:rsid w:val="002A757C"/>
    <w:rsid w:val="002C0253"/>
    <w:rsid w:val="002C1863"/>
    <w:rsid w:val="002E0C87"/>
    <w:rsid w:val="002E4A25"/>
    <w:rsid w:val="002E7FA6"/>
    <w:rsid w:val="002F5EEA"/>
    <w:rsid w:val="002F6254"/>
    <w:rsid w:val="0030297A"/>
    <w:rsid w:val="00302F3C"/>
    <w:rsid w:val="00320814"/>
    <w:rsid w:val="00332FE0"/>
    <w:rsid w:val="00357EF6"/>
    <w:rsid w:val="00394FDD"/>
    <w:rsid w:val="003A55CB"/>
    <w:rsid w:val="003B4DC0"/>
    <w:rsid w:val="003B76E5"/>
    <w:rsid w:val="003C3B8A"/>
    <w:rsid w:val="00401A22"/>
    <w:rsid w:val="0042377A"/>
    <w:rsid w:val="00427A37"/>
    <w:rsid w:val="00434F6B"/>
    <w:rsid w:val="00440BBE"/>
    <w:rsid w:val="0046496B"/>
    <w:rsid w:val="00467720"/>
    <w:rsid w:val="00475DAF"/>
    <w:rsid w:val="004A0259"/>
    <w:rsid w:val="004A15BE"/>
    <w:rsid w:val="004C0A86"/>
    <w:rsid w:val="004C40CD"/>
    <w:rsid w:val="005177BC"/>
    <w:rsid w:val="00524F32"/>
    <w:rsid w:val="00532B6A"/>
    <w:rsid w:val="00534EF7"/>
    <w:rsid w:val="005403C2"/>
    <w:rsid w:val="00555263"/>
    <w:rsid w:val="00564397"/>
    <w:rsid w:val="00572B1E"/>
    <w:rsid w:val="00572E0F"/>
    <w:rsid w:val="00582FD1"/>
    <w:rsid w:val="00590907"/>
    <w:rsid w:val="005B5779"/>
    <w:rsid w:val="005C6309"/>
    <w:rsid w:val="005D12F3"/>
    <w:rsid w:val="005D65DB"/>
    <w:rsid w:val="005D7E30"/>
    <w:rsid w:val="005E4AD2"/>
    <w:rsid w:val="005F00C8"/>
    <w:rsid w:val="005F1E38"/>
    <w:rsid w:val="005F2706"/>
    <w:rsid w:val="00603993"/>
    <w:rsid w:val="0061700C"/>
    <w:rsid w:val="00631F3E"/>
    <w:rsid w:val="0063212E"/>
    <w:rsid w:val="00656EC1"/>
    <w:rsid w:val="00657A36"/>
    <w:rsid w:val="00670959"/>
    <w:rsid w:val="00672C26"/>
    <w:rsid w:val="006752CB"/>
    <w:rsid w:val="00684183"/>
    <w:rsid w:val="006942E4"/>
    <w:rsid w:val="006C0357"/>
    <w:rsid w:val="006C2096"/>
    <w:rsid w:val="006E62C5"/>
    <w:rsid w:val="006E641B"/>
    <w:rsid w:val="00713605"/>
    <w:rsid w:val="00730B3C"/>
    <w:rsid w:val="007312F5"/>
    <w:rsid w:val="0073149E"/>
    <w:rsid w:val="00765C38"/>
    <w:rsid w:val="00777DA6"/>
    <w:rsid w:val="00782834"/>
    <w:rsid w:val="007A30B7"/>
    <w:rsid w:val="007B20AA"/>
    <w:rsid w:val="007F213E"/>
    <w:rsid w:val="00842CD5"/>
    <w:rsid w:val="00872E85"/>
    <w:rsid w:val="00877E4B"/>
    <w:rsid w:val="008D571C"/>
    <w:rsid w:val="008D7848"/>
    <w:rsid w:val="008F4079"/>
    <w:rsid w:val="009152EC"/>
    <w:rsid w:val="00943975"/>
    <w:rsid w:val="00945308"/>
    <w:rsid w:val="00954725"/>
    <w:rsid w:val="00966B1B"/>
    <w:rsid w:val="00971887"/>
    <w:rsid w:val="009734B4"/>
    <w:rsid w:val="00981278"/>
    <w:rsid w:val="009B44DD"/>
    <w:rsid w:val="009D03A2"/>
    <w:rsid w:val="009E6B57"/>
    <w:rsid w:val="00A00C7C"/>
    <w:rsid w:val="00A15C17"/>
    <w:rsid w:val="00A17FE6"/>
    <w:rsid w:val="00A3389B"/>
    <w:rsid w:val="00A3588A"/>
    <w:rsid w:val="00A61AA6"/>
    <w:rsid w:val="00A708D1"/>
    <w:rsid w:val="00A83804"/>
    <w:rsid w:val="00A907A1"/>
    <w:rsid w:val="00A94479"/>
    <w:rsid w:val="00AC2600"/>
    <w:rsid w:val="00AD0711"/>
    <w:rsid w:val="00AE6A11"/>
    <w:rsid w:val="00AF132A"/>
    <w:rsid w:val="00B027EE"/>
    <w:rsid w:val="00B03124"/>
    <w:rsid w:val="00B04213"/>
    <w:rsid w:val="00B11673"/>
    <w:rsid w:val="00B276B6"/>
    <w:rsid w:val="00B3154D"/>
    <w:rsid w:val="00B334C4"/>
    <w:rsid w:val="00B6342A"/>
    <w:rsid w:val="00B80018"/>
    <w:rsid w:val="00B831A9"/>
    <w:rsid w:val="00B92DE8"/>
    <w:rsid w:val="00BA48A8"/>
    <w:rsid w:val="00BA5C5C"/>
    <w:rsid w:val="00BA7F37"/>
    <w:rsid w:val="00BB6797"/>
    <w:rsid w:val="00BD1D24"/>
    <w:rsid w:val="00BD4A17"/>
    <w:rsid w:val="00BE1C5E"/>
    <w:rsid w:val="00BF18C2"/>
    <w:rsid w:val="00BF456B"/>
    <w:rsid w:val="00BF69BE"/>
    <w:rsid w:val="00C05AE8"/>
    <w:rsid w:val="00C513AB"/>
    <w:rsid w:val="00C74800"/>
    <w:rsid w:val="00CB1286"/>
    <w:rsid w:val="00CC5098"/>
    <w:rsid w:val="00CD55F0"/>
    <w:rsid w:val="00CE22A2"/>
    <w:rsid w:val="00D03311"/>
    <w:rsid w:val="00D160FC"/>
    <w:rsid w:val="00D30FF3"/>
    <w:rsid w:val="00D3126B"/>
    <w:rsid w:val="00D52F93"/>
    <w:rsid w:val="00D647E5"/>
    <w:rsid w:val="00D6657E"/>
    <w:rsid w:val="00D67984"/>
    <w:rsid w:val="00D70879"/>
    <w:rsid w:val="00D72DE3"/>
    <w:rsid w:val="00D7533E"/>
    <w:rsid w:val="00D82BB8"/>
    <w:rsid w:val="00D91AD4"/>
    <w:rsid w:val="00DA08D0"/>
    <w:rsid w:val="00DB771E"/>
    <w:rsid w:val="00DB77DF"/>
    <w:rsid w:val="00DD27F5"/>
    <w:rsid w:val="00DE6690"/>
    <w:rsid w:val="00E018EB"/>
    <w:rsid w:val="00E15024"/>
    <w:rsid w:val="00E22BD9"/>
    <w:rsid w:val="00E36BB2"/>
    <w:rsid w:val="00E6195F"/>
    <w:rsid w:val="00E7035D"/>
    <w:rsid w:val="00E77726"/>
    <w:rsid w:val="00E83F41"/>
    <w:rsid w:val="00E876A8"/>
    <w:rsid w:val="00E90CC2"/>
    <w:rsid w:val="00E966A9"/>
    <w:rsid w:val="00EA4D2B"/>
    <w:rsid w:val="00ED12F3"/>
    <w:rsid w:val="00F112AC"/>
    <w:rsid w:val="00F16861"/>
    <w:rsid w:val="00F249F3"/>
    <w:rsid w:val="00F34594"/>
    <w:rsid w:val="00F42A16"/>
    <w:rsid w:val="00F46B3F"/>
    <w:rsid w:val="00F527CA"/>
    <w:rsid w:val="00F62D56"/>
    <w:rsid w:val="00F70911"/>
    <w:rsid w:val="00FA2CC9"/>
    <w:rsid w:val="00FA6845"/>
    <w:rsid w:val="00FB63CF"/>
    <w:rsid w:val="00FC689C"/>
    <w:rsid w:val="00FD1BB5"/>
    <w:rsid w:val="00FD4B0C"/>
    <w:rsid w:val="00FD71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7F5BB"/>
  <w15:chartTrackingRefBased/>
  <w15:docId w15:val="{0C229C2F-8293-41C4-9EB5-7FB29681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7332"/>
    <w:rPr>
      <w:sz w:val="24"/>
      <w:szCs w:val="24"/>
    </w:rPr>
  </w:style>
  <w:style w:type="paragraph" w:styleId="Nagwek1">
    <w:name w:val="heading 1"/>
    <w:basedOn w:val="Normalny"/>
    <w:next w:val="Normalny"/>
    <w:qFormat/>
    <w:rsid w:val="00187332"/>
    <w:pPr>
      <w:keepNext/>
      <w:spacing w:line="288" w:lineRule="auto"/>
      <w:jc w:val="both"/>
      <w:outlineLvl w:val="0"/>
    </w:pPr>
    <w:rPr>
      <w:b/>
      <w:szCs w:val="20"/>
    </w:rPr>
  </w:style>
  <w:style w:type="paragraph" w:styleId="Nagwek2">
    <w:name w:val="heading 2"/>
    <w:basedOn w:val="Normalny"/>
    <w:next w:val="Normalny"/>
    <w:qFormat/>
    <w:rsid w:val="00187332"/>
    <w:pPr>
      <w:keepNext/>
      <w:spacing w:before="240" w:after="60" w:line="288" w:lineRule="auto"/>
      <w:jc w:val="both"/>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87332"/>
    <w:rPr>
      <w:sz w:val="20"/>
      <w:szCs w:val="20"/>
    </w:rPr>
  </w:style>
  <w:style w:type="character" w:styleId="Odwoanieprzypisudolnego">
    <w:name w:val="footnote reference"/>
    <w:semiHidden/>
    <w:rsid w:val="00187332"/>
    <w:rPr>
      <w:vertAlign w:val="superscript"/>
    </w:rPr>
  </w:style>
  <w:style w:type="paragraph" w:styleId="Tekstdymka">
    <w:name w:val="Balloon Text"/>
    <w:basedOn w:val="Normalny"/>
    <w:link w:val="TekstdymkaZnak"/>
    <w:rsid w:val="00A3389B"/>
    <w:rPr>
      <w:rFonts w:ascii="Segoe UI" w:hAnsi="Segoe UI"/>
      <w:sz w:val="18"/>
      <w:szCs w:val="18"/>
      <w:lang w:val="x-none" w:eastAsia="x-none"/>
    </w:rPr>
  </w:style>
  <w:style w:type="character" w:customStyle="1" w:styleId="TekstdymkaZnak">
    <w:name w:val="Tekst dymka Znak"/>
    <w:link w:val="Tekstdymka"/>
    <w:rsid w:val="00A3389B"/>
    <w:rPr>
      <w:rFonts w:ascii="Segoe UI" w:hAnsi="Segoe UI" w:cs="Segoe UI"/>
      <w:sz w:val="18"/>
      <w:szCs w:val="18"/>
    </w:rPr>
  </w:style>
  <w:style w:type="character" w:styleId="Odwoaniedokomentarza">
    <w:name w:val="annotation reference"/>
    <w:rsid w:val="00713605"/>
    <w:rPr>
      <w:sz w:val="16"/>
      <w:szCs w:val="16"/>
    </w:rPr>
  </w:style>
  <w:style w:type="paragraph" w:styleId="Tekstkomentarza">
    <w:name w:val="annotation text"/>
    <w:basedOn w:val="Normalny"/>
    <w:link w:val="TekstkomentarzaZnak"/>
    <w:rsid w:val="00713605"/>
    <w:rPr>
      <w:sz w:val="20"/>
      <w:szCs w:val="20"/>
    </w:rPr>
  </w:style>
  <w:style w:type="character" w:customStyle="1" w:styleId="TekstkomentarzaZnak">
    <w:name w:val="Tekst komentarza Znak"/>
    <w:basedOn w:val="Domylnaczcionkaakapitu"/>
    <w:link w:val="Tekstkomentarza"/>
    <w:rsid w:val="00713605"/>
  </w:style>
  <w:style w:type="paragraph" w:styleId="Tematkomentarza">
    <w:name w:val="annotation subject"/>
    <w:basedOn w:val="Tekstkomentarza"/>
    <w:next w:val="Tekstkomentarza"/>
    <w:link w:val="TematkomentarzaZnak"/>
    <w:rsid w:val="00713605"/>
    <w:rPr>
      <w:b/>
      <w:bCs/>
    </w:rPr>
  </w:style>
  <w:style w:type="character" w:customStyle="1" w:styleId="TematkomentarzaZnak">
    <w:name w:val="Temat komentarza Znak"/>
    <w:link w:val="Tematkomentarza"/>
    <w:rsid w:val="00713605"/>
    <w:rPr>
      <w:b/>
      <w:bCs/>
    </w:rPr>
  </w:style>
  <w:style w:type="paragraph" w:styleId="Akapitzlist">
    <w:name w:val="List Paragraph"/>
    <w:basedOn w:val="Normalny"/>
    <w:uiPriority w:val="34"/>
    <w:qFormat/>
    <w:rsid w:val="00CD55F0"/>
    <w:pPr>
      <w:ind w:left="720"/>
      <w:contextualSpacing/>
    </w:pPr>
  </w:style>
  <w:style w:type="character" w:customStyle="1" w:styleId="Ppogrubienie">
    <w:name w:val="_P_ – pogrubienie"/>
    <w:uiPriority w:val="1"/>
    <w:qFormat/>
    <w:rsid w:val="00564397"/>
    <w:rPr>
      <w:b/>
    </w:rPr>
  </w:style>
  <w:style w:type="paragraph" w:styleId="Poprawka">
    <w:name w:val="Revision"/>
    <w:hidden/>
    <w:uiPriority w:val="99"/>
    <w:semiHidden/>
    <w:rsid w:val="00B334C4"/>
    <w:rPr>
      <w:sz w:val="24"/>
      <w:szCs w:val="24"/>
    </w:rPr>
  </w:style>
  <w:style w:type="paragraph" w:styleId="Nagwek">
    <w:name w:val="header"/>
    <w:basedOn w:val="Normalny"/>
    <w:link w:val="NagwekZnak"/>
    <w:rsid w:val="003B4DC0"/>
    <w:pPr>
      <w:tabs>
        <w:tab w:val="center" w:pos="4536"/>
        <w:tab w:val="right" w:pos="9072"/>
      </w:tabs>
    </w:pPr>
  </w:style>
  <w:style w:type="character" w:customStyle="1" w:styleId="NagwekZnak">
    <w:name w:val="Nagłówek Znak"/>
    <w:basedOn w:val="Domylnaczcionkaakapitu"/>
    <w:link w:val="Nagwek"/>
    <w:rsid w:val="003B4D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28001">
      <w:bodyDiv w:val="1"/>
      <w:marLeft w:val="0"/>
      <w:marRight w:val="0"/>
      <w:marTop w:val="0"/>
      <w:marBottom w:val="0"/>
      <w:divBdr>
        <w:top w:val="none" w:sz="0" w:space="0" w:color="auto"/>
        <w:left w:val="none" w:sz="0" w:space="0" w:color="auto"/>
        <w:bottom w:val="none" w:sz="0" w:space="0" w:color="auto"/>
        <w:right w:val="none" w:sz="0" w:space="0" w:color="auto"/>
      </w:divBdr>
    </w:div>
    <w:div w:id="107520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EAD590A60D7D4983EF0420C820EEFB" ma:contentTypeVersion="0" ma:contentTypeDescription="Utwórz nowy dokument." ma:contentTypeScope="" ma:versionID="11a7816191fbaa8f433aa737929ebe26">
  <xsd:schema xmlns:xsd="http://www.w3.org/2001/XMLSchema" xmlns:xs="http://www.w3.org/2001/XMLSchema" xmlns:p="http://schemas.microsoft.com/office/2006/metadata/properties" targetNamespace="http://schemas.microsoft.com/office/2006/metadata/properties" ma:root="true" ma:fieldsID="3cb4b7113a9bca38157aad20a957d87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15E9E-5E43-4225-BE98-6C0A5F318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4A8CC1-8285-422E-9607-30AF6F5DF1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6E9F0-97AE-49E2-B6EC-4E204667DF0C}">
  <ds:schemaRefs>
    <ds:schemaRef ds:uri="http://schemas.microsoft.com/sharepoint/v3/contenttype/forms"/>
  </ds:schemaRefs>
</ds:datastoreItem>
</file>

<file path=customXml/itemProps4.xml><?xml version="1.0" encoding="utf-8"?>
<ds:datastoreItem xmlns:ds="http://schemas.openxmlformats.org/officeDocument/2006/customXml" ds:itemID="{2D1356DD-F8F4-4597-9981-984C90FE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1564</Words>
  <Characters>9388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Projekt – 04</vt:lpstr>
    </vt:vector>
  </TitlesOfParts>
  <Company>Urzad Lotnictwa Cywilnego</Company>
  <LinksUpToDate>false</LinksUpToDate>
  <CharactersWithSpaces>10931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 04</dc:title>
  <dc:subject/>
  <dc:creator>Preferred Customer</dc:creator>
  <cp:keywords/>
  <cp:lastModifiedBy>Wiza Agnieszka</cp:lastModifiedBy>
  <cp:revision>7</cp:revision>
  <cp:lastPrinted>2023-05-29T11:49:00Z</cp:lastPrinted>
  <dcterms:created xsi:type="dcterms:W3CDTF">2023-07-21T13:22:00Z</dcterms:created>
  <dcterms:modified xsi:type="dcterms:W3CDTF">2023-07-26T06:37:00Z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0x01010017EAD590A60D7D4983EF0420C820EEFB</vt:lpwstr>
  </property>
</Properties>
</file>