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7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E74C16" w:rsidRPr="00C46BBD" w14:paraId="141EBCC2" w14:textId="77777777" w:rsidTr="00E74C16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2311E57B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C46BBD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14:paraId="009D5543" w14:textId="1CC2B7A6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 xml:space="preserve">Rozporządzenie Ministra Infrastruktury </w:t>
            </w:r>
            <w:r w:rsidR="007F342D">
              <w:rPr>
                <w:rFonts w:ascii="Times New Roman" w:hAnsi="Times New Roman"/>
                <w:color w:val="000000"/>
              </w:rPr>
              <w:t xml:space="preserve">zmieniające rozporządzenie </w:t>
            </w:r>
            <w:r w:rsidRPr="00C46BBD">
              <w:rPr>
                <w:rFonts w:ascii="Times New Roman" w:hAnsi="Times New Roman"/>
                <w:color w:val="000000"/>
              </w:rPr>
              <w:t xml:space="preserve">w sprawie </w:t>
            </w:r>
            <w:r w:rsidR="007F342D">
              <w:rPr>
                <w:rFonts w:ascii="Times New Roman" w:hAnsi="Times New Roman"/>
                <w:color w:val="000000"/>
              </w:rPr>
              <w:t>Krajowego Programu Szkolenia w zakresie ochrony lotnictwa cywilnego</w:t>
            </w:r>
          </w:p>
          <w:p w14:paraId="2EDC99F2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600AB201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155BB495" w14:textId="498942C8" w:rsidR="00E74C16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Ministerstwo Infrastruktury</w:t>
            </w:r>
            <w:r w:rsidR="001214BA">
              <w:rPr>
                <w:rFonts w:ascii="Times New Roman" w:hAnsi="Times New Roman"/>
                <w:color w:val="000000"/>
              </w:rPr>
              <w:t xml:space="preserve"> – ministerstwo wiodące</w:t>
            </w:r>
          </w:p>
          <w:p w14:paraId="29BF2723" w14:textId="48F35BB6" w:rsidR="003A1371" w:rsidRPr="00C46BBD" w:rsidRDefault="003A1371" w:rsidP="00E74C16">
            <w:pPr>
              <w:ind w:left="2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Spraw Wewnętrznych i Administracji</w:t>
            </w:r>
            <w:r w:rsidR="001214BA">
              <w:rPr>
                <w:rFonts w:ascii="Times New Roman" w:hAnsi="Times New Roman"/>
                <w:color w:val="000000"/>
              </w:rPr>
              <w:t xml:space="preserve"> – ministerstwo współpracujące</w:t>
            </w:r>
          </w:p>
          <w:bookmarkEnd w:id="0"/>
          <w:p w14:paraId="7A2B7C9C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71586D9F" w14:textId="43689843" w:rsidR="00E74C16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Osoba odpowiedzialna za projekt w randze Ministra, Sekretarz</w:t>
            </w:r>
            <w:r w:rsidR="00983F2E">
              <w:rPr>
                <w:rFonts w:ascii="Times New Roman" w:hAnsi="Times New Roman"/>
                <w:b/>
                <w:color w:val="000000"/>
              </w:rPr>
              <w:t>a Stanu lub Podsekretarza Stanu</w:t>
            </w:r>
          </w:p>
          <w:p w14:paraId="5B549D04" w14:textId="77777777" w:rsidR="00A54C95" w:rsidRPr="0063060B" w:rsidRDefault="00A54C95" w:rsidP="00A54C9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Andrzej Adamczyk – </w:t>
            </w:r>
            <w:r w:rsidRPr="00024DC5">
              <w:rPr>
                <w:rFonts w:ascii="Times New Roman" w:hAnsi="Times New Roman"/>
                <w:sz w:val="21"/>
                <w:szCs w:val="21"/>
              </w:rPr>
              <w:t>Minister Infrastruktury</w:t>
            </w:r>
          </w:p>
          <w:p w14:paraId="68725DD4" w14:textId="77777777" w:rsidR="00E74C16" w:rsidRPr="00C46BBD" w:rsidRDefault="00E74C16" w:rsidP="00E74C16">
            <w:pPr>
              <w:ind w:left="25"/>
              <w:rPr>
                <w:rFonts w:ascii="Times New Roman" w:hAnsi="Times New Roman"/>
                <w:color w:val="000000"/>
              </w:rPr>
            </w:pPr>
          </w:p>
          <w:p w14:paraId="06866B9B" w14:textId="77777777" w:rsidR="00E74C16" w:rsidRDefault="00E74C16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6DDAC7C3" w14:textId="3E28BDA2" w:rsidR="001711A5" w:rsidRPr="00C46BBD" w:rsidRDefault="00A54C95" w:rsidP="00E74C16">
            <w:pPr>
              <w:ind w:left="25"/>
              <w:rPr>
                <w:rFonts w:ascii="Times New Roman" w:hAnsi="Times New Roman"/>
                <w:b/>
                <w:color w:val="000000"/>
              </w:rPr>
            </w:pPr>
            <w:r w:rsidRPr="00024DC5">
              <w:rPr>
                <w:rFonts w:ascii="Times New Roman" w:hAnsi="Times New Roman"/>
                <w:color w:val="000000"/>
              </w:rPr>
              <w:t xml:space="preserve">Magdalena Porzycka – Naczelnik Wydziału w Departamencie Lotnictwa </w:t>
            </w:r>
            <w:r w:rsidRPr="00024DC5">
              <w:rPr>
                <w:rFonts w:ascii="Times New Roman" w:hAnsi="Times New Roman"/>
                <w:color w:val="000000"/>
              </w:rPr>
              <w:br/>
              <w:t>w Ministerstwie Infrastruktury (tel.: 22 630 14 47, e-mail: magdalena.porzycka@mi.gov.pl)</w:t>
            </w:r>
          </w:p>
          <w:p w14:paraId="7D2E755A" w14:textId="77777777" w:rsidR="00FF7261" w:rsidRPr="00C46BBD" w:rsidRDefault="00FF7261" w:rsidP="00641C76">
            <w:pPr>
              <w:ind w:left="2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6" w:type="dxa"/>
            <w:gridSpan w:val="12"/>
            <w:shd w:val="clear" w:color="auto" w:fill="FFFFFF"/>
          </w:tcPr>
          <w:p w14:paraId="7A590516" w14:textId="1304A801" w:rsidR="00E74C16" w:rsidRPr="00C46BBD" w:rsidRDefault="00983F2E" w:rsidP="00E74C1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Data sporządzenia</w:t>
            </w:r>
          </w:p>
          <w:p w14:paraId="442525E3" w14:textId="3C39A3D5" w:rsidR="00E74C16" w:rsidRDefault="001214BA" w:rsidP="00E74C16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F66FE">
              <w:rPr>
                <w:rFonts w:ascii="Times New Roman" w:hAnsi="Times New Roman"/>
                <w:color w:val="000000"/>
              </w:rPr>
              <w:t>7</w:t>
            </w:r>
            <w:r w:rsidR="003910A7">
              <w:rPr>
                <w:rFonts w:ascii="Times New Roman" w:hAnsi="Times New Roman"/>
                <w:color w:val="000000"/>
              </w:rPr>
              <w:t>.</w:t>
            </w:r>
            <w:r w:rsidR="006F2F9D">
              <w:rPr>
                <w:rFonts w:ascii="Times New Roman" w:hAnsi="Times New Roman"/>
                <w:color w:val="000000"/>
              </w:rPr>
              <w:t>01</w:t>
            </w:r>
            <w:r w:rsidR="00CB635D">
              <w:rPr>
                <w:rFonts w:ascii="Times New Roman" w:hAnsi="Times New Roman"/>
                <w:color w:val="000000"/>
              </w:rPr>
              <w:t>.202</w:t>
            </w:r>
            <w:r w:rsidR="006F2F9D">
              <w:rPr>
                <w:rFonts w:ascii="Times New Roman" w:hAnsi="Times New Roman"/>
                <w:color w:val="000000"/>
              </w:rPr>
              <w:t>3</w:t>
            </w:r>
            <w:r w:rsidR="00CA562A">
              <w:rPr>
                <w:rFonts w:ascii="Times New Roman" w:hAnsi="Times New Roman"/>
                <w:color w:val="000000"/>
              </w:rPr>
              <w:t xml:space="preserve"> r.</w:t>
            </w:r>
          </w:p>
          <w:p w14:paraId="07ED1CF3" w14:textId="77777777" w:rsidR="001214BA" w:rsidRPr="00C46BBD" w:rsidRDefault="001214BA" w:rsidP="00E74C16">
            <w:pPr>
              <w:jc w:val="left"/>
              <w:rPr>
                <w:rFonts w:ascii="Times New Roman" w:hAnsi="Times New Roman"/>
                <w:color w:val="000000"/>
              </w:rPr>
            </w:pPr>
          </w:p>
          <w:p w14:paraId="602B49E8" w14:textId="77777777" w:rsidR="00E74C16" w:rsidRPr="00C46BBD" w:rsidRDefault="00E74C16" w:rsidP="00E74C16">
            <w:pPr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Źródło: </w:t>
            </w:r>
            <w:bookmarkStart w:id="2" w:name="Lista1"/>
          </w:p>
          <w:bookmarkEnd w:id="2"/>
          <w:p w14:paraId="77BF3E51" w14:textId="1B7C3DB1" w:rsidR="00E74C16" w:rsidRPr="00C46BBD" w:rsidRDefault="001214BA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="007E2CB0">
              <w:rPr>
                <w:rFonts w:ascii="Times New Roman" w:hAnsi="Times New Roman"/>
                <w:color w:val="000000"/>
              </w:rPr>
              <w:t>rt. 189 ust. 3 ustawy z dnia 3 lipca 2002 r. (Dz. U. z 2022 r. poz. 1235,</w:t>
            </w:r>
            <w:r w:rsidR="00A54C95">
              <w:rPr>
                <w:rFonts w:ascii="Times New Roman" w:hAnsi="Times New Roman"/>
                <w:color w:val="000000"/>
              </w:rPr>
              <w:t xml:space="preserve"> z </w:t>
            </w:r>
            <w:proofErr w:type="spellStart"/>
            <w:r w:rsidR="00A54C95">
              <w:rPr>
                <w:rFonts w:ascii="Times New Roman" w:hAnsi="Times New Roman"/>
                <w:color w:val="000000"/>
              </w:rPr>
              <w:t>późn</w:t>
            </w:r>
            <w:proofErr w:type="spellEnd"/>
            <w:r w:rsidR="00A54C95">
              <w:rPr>
                <w:rFonts w:ascii="Times New Roman" w:hAnsi="Times New Roman"/>
                <w:color w:val="000000"/>
              </w:rPr>
              <w:t>. zm.</w:t>
            </w:r>
            <w:r w:rsidR="007E2CB0">
              <w:rPr>
                <w:rFonts w:ascii="Times New Roman" w:hAnsi="Times New Roman"/>
                <w:color w:val="000000"/>
              </w:rPr>
              <w:t>)</w:t>
            </w:r>
          </w:p>
          <w:p w14:paraId="7EC69EF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561E3C64" w14:textId="77777777" w:rsidR="00E74C16" w:rsidRDefault="00E74C16" w:rsidP="007F095A">
            <w:pPr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Nr w wykazie prac </w:t>
            </w:r>
            <w:r w:rsidR="008B476D">
              <w:rPr>
                <w:rFonts w:ascii="Times New Roman" w:hAnsi="Times New Roman"/>
                <w:b/>
                <w:color w:val="000000"/>
              </w:rPr>
              <w:t xml:space="preserve">legislacyjnych </w:t>
            </w:r>
            <w:r w:rsidRPr="008B476D">
              <w:rPr>
                <w:rFonts w:ascii="Times New Roman" w:hAnsi="Times New Roman"/>
                <w:b/>
                <w:color w:val="000000"/>
              </w:rPr>
              <w:t>M</w:t>
            </w:r>
            <w:r w:rsidR="00F04965" w:rsidRPr="008B476D">
              <w:rPr>
                <w:rFonts w:ascii="Times New Roman" w:hAnsi="Times New Roman"/>
                <w:b/>
                <w:color w:val="000000"/>
              </w:rPr>
              <w:t xml:space="preserve">inistra </w:t>
            </w:r>
            <w:r w:rsidRPr="008B476D">
              <w:rPr>
                <w:rFonts w:ascii="Times New Roman" w:hAnsi="Times New Roman"/>
                <w:b/>
                <w:color w:val="000000"/>
              </w:rPr>
              <w:t>I</w:t>
            </w:r>
            <w:r w:rsidR="00F04965" w:rsidRPr="008B476D">
              <w:rPr>
                <w:rFonts w:ascii="Times New Roman" w:hAnsi="Times New Roman"/>
                <w:b/>
                <w:color w:val="000000"/>
              </w:rPr>
              <w:t>nfrastruktury</w:t>
            </w:r>
          </w:p>
          <w:p w14:paraId="24CE299A" w14:textId="543CB220" w:rsidR="00696448" w:rsidRPr="00696448" w:rsidRDefault="00696448" w:rsidP="007F095A">
            <w:pPr>
              <w:rPr>
                <w:rFonts w:ascii="Times New Roman" w:hAnsi="Times New Roman"/>
                <w:color w:val="000000"/>
              </w:rPr>
            </w:pPr>
            <w:r w:rsidRPr="00696448">
              <w:rPr>
                <w:rFonts w:ascii="Times New Roman" w:hAnsi="Times New Roman"/>
                <w:color w:val="000000"/>
              </w:rPr>
              <w:t>264</w:t>
            </w:r>
          </w:p>
        </w:tc>
      </w:tr>
      <w:tr w:rsidR="00E74C16" w:rsidRPr="00C46BBD" w14:paraId="6FBFD5D5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A3C20B6" w14:textId="77777777" w:rsidR="00E74C16" w:rsidRPr="00C46BBD" w:rsidRDefault="00E74C16" w:rsidP="00E74C16">
            <w:pPr>
              <w:ind w:left="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OCENA SKUTKÓW REGULACJI</w:t>
            </w:r>
          </w:p>
        </w:tc>
      </w:tr>
      <w:tr w:rsidR="00E74C16" w:rsidRPr="00C46BBD" w14:paraId="6D38CD41" w14:textId="77777777" w:rsidTr="00E74C16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D7B45FD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Jaki problem jest rozwiązywany?</w:t>
            </w:r>
            <w:bookmarkStart w:id="3" w:name="Wybór1"/>
            <w:bookmarkEnd w:id="3"/>
          </w:p>
        </w:tc>
      </w:tr>
      <w:tr w:rsidR="00E74C16" w:rsidRPr="00C46BBD" w14:paraId="7443FAB4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727285B" w14:textId="144E4C17" w:rsidR="00E74C16" w:rsidRPr="006D2535" w:rsidRDefault="00D87503" w:rsidP="00723A4C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D87503">
              <w:rPr>
                <w:rFonts w:ascii="Times New Roman" w:hAnsi="Times New Roman"/>
              </w:rPr>
              <w:t xml:space="preserve">W związku z wejściem w życie </w:t>
            </w:r>
            <w:r w:rsidR="008B476D" w:rsidRPr="00DD2127">
              <w:rPr>
                <w:rFonts w:ascii="Times New Roman" w:hAnsi="Times New Roman"/>
                <w:sz w:val="24"/>
                <w:szCs w:val="24"/>
              </w:rPr>
              <w:t>rozporządzeni</w:t>
            </w:r>
            <w:r w:rsidR="008B476D">
              <w:rPr>
                <w:rFonts w:ascii="Times New Roman" w:hAnsi="Times New Roman"/>
                <w:sz w:val="24"/>
                <w:szCs w:val="24"/>
              </w:rPr>
              <w:t>a</w:t>
            </w:r>
            <w:r w:rsidR="008B476D" w:rsidRPr="00DD2127">
              <w:rPr>
                <w:rFonts w:ascii="Times New Roman" w:hAnsi="Times New Roman"/>
                <w:sz w:val="24"/>
                <w:szCs w:val="24"/>
              </w:rPr>
              <w:t xml:space="preserve"> wykonawcz</w:t>
            </w:r>
            <w:r w:rsidR="008B476D">
              <w:rPr>
                <w:rFonts w:ascii="Times New Roman" w:hAnsi="Times New Roman"/>
                <w:sz w:val="24"/>
                <w:szCs w:val="24"/>
              </w:rPr>
              <w:t xml:space="preserve">ego </w:t>
            </w:r>
            <w:r w:rsidR="008B476D" w:rsidRPr="00DD2127">
              <w:rPr>
                <w:rFonts w:ascii="Times New Roman" w:hAnsi="Times New Roman"/>
                <w:sz w:val="24"/>
                <w:szCs w:val="24"/>
              </w:rPr>
              <w:t>Komisji (UE)</w:t>
            </w:r>
            <w:r w:rsidR="008B476D" w:rsidRPr="00DD2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47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nr </w:t>
            </w:r>
            <w:r w:rsidR="008B476D" w:rsidRPr="00DD2127">
              <w:rPr>
                <w:rFonts w:ascii="Times New Roman" w:hAnsi="Times New Roman"/>
                <w:bCs/>
                <w:sz w:val="24"/>
                <w:szCs w:val="24"/>
              </w:rPr>
              <w:t>2021/255 z dnia 18 lutego 2021 r. zmieniając</w:t>
            </w:r>
            <w:r w:rsidR="008B476D">
              <w:rPr>
                <w:rFonts w:ascii="Times New Roman" w:hAnsi="Times New Roman"/>
                <w:bCs/>
                <w:sz w:val="24"/>
                <w:szCs w:val="24"/>
              </w:rPr>
              <w:t>ego r</w:t>
            </w:r>
            <w:r w:rsidR="008B476D" w:rsidRPr="00DD2127">
              <w:rPr>
                <w:rFonts w:ascii="Times New Roman" w:hAnsi="Times New Roman"/>
                <w:bCs/>
                <w:sz w:val="24"/>
                <w:szCs w:val="24"/>
              </w:rPr>
              <w:t xml:space="preserve">ozporządzenie wykonawcze </w:t>
            </w:r>
            <w:r w:rsidR="008B476D" w:rsidRPr="0086090C">
              <w:rPr>
                <w:rFonts w:ascii="Times New Roman" w:hAnsi="Times New Roman"/>
                <w:bCs/>
              </w:rPr>
              <w:t>Komisji (UE) 2015/1998 ustanawiającego szczegółowe środki w</w:t>
            </w:r>
            <w:r w:rsidR="00723A4C" w:rsidRPr="0086090C">
              <w:rPr>
                <w:rFonts w:ascii="Times New Roman" w:hAnsi="Times New Roman"/>
                <w:bCs/>
              </w:rPr>
              <w:t> </w:t>
            </w:r>
            <w:r w:rsidR="008B476D" w:rsidRPr="0086090C">
              <w:rPr>
                <w:rFonts w:ascii="Times New Roman" w:hAnsi="Times New Roman"/>
                <w:bCs/>
              </w:rPr>
              <w:t xml:space="preserve">celu wprowadzenia w życie wspólnych podstawowych norm ochrony lotnictwa cywilnego (Dz. Urz. UE L </w:t>
            </w:r>
            <w:r w:rsidR="008B476D" w:rsidRPr="0086090C">
              <w:rPr>
                <w:rFonts w:ascii="Times New Roman" w:hAnsi="Times New Roman"/>
              </w:rPr>
              <w:t xml:space="preserve">58 z 19.02.2021, str. 23) oraz </w:t>
            </w:r>
            <w:r w:rsidRPr="001214BA">
              <w:rPr>
                <w:rFonts w:ascii="Times New Roman" w:hAnsi="Times New Roman"/>
              </w:rPr>
              <w:t xml:space="preserve">rozporządzenia wykonawczego Komisji (UE) 2022/1174 z dnia 7 lipca 2022 r. </w:t>
            </w:r>
            <w:r w:rsidRPr="001214BA">
              <w:rPr>
                <w:rFonts w:ascii="Times New Roman" w:hAnsi="Times New Roman"/>
                <w:bCs/>
              </w:rPr>
              <w:t xml:space="preserve">zmieniającego rozporządzenie wykonawcze Komisji (UE) 2015/1998 </w:t>
            </w:r>
            <w:r w:rsidR="008A174A" w:rsidRPr="001214BA">
              <w:rPr>
                <w:rFonts w:ascii="Times New Roman" w:hAnsi="Times New Roman"/>
                <w:bCs/>
              </w:rPr>
              <w:t xml:space="preserve">odnośnie do określonych szczegółowych środków mających na celu wprowadzenie w życie wspólnych podstawowych norm ochrony lotnictwa cywilnego  </w:t>
            </w:r>
            <w:r w:rsidRPr="001214BA">
              <w:rPr>
                <w:rFonts w:ascii="Times New Roman" w:hAnsi="Times New Roman"/>
                <w:bCs/>
              </w:rPr>
              <w:t>(Dz. Urz.</w:t>
            </w:r>
            <w:r w:rsidR="008B476D" w:rsidRPr="001214BA">
              <w:rPr>
                <w:rFonts w:ascii="Times New Roman" w:hAnsi="Times New Roman"/>
                <w:bCs/>
              </w:rPr>
              <w:t xml:space="preserve"> UE L 183 z 08.07.2022,  str. 35)</w:t>
            </w:r>
            <w:r w:rsidR="000479D9" w:rsidRPr="0086090C">
              <w:rPr>
                <w:rFonts w:ascii="Times New Roman" w:hAnsi="Times New Roman"/>
              </w:rPr>
              <w:t xml:space="preserve">, a także </w:t>
            </w:r>
            <w:r w:rsidRPr="001214BA">
              <w:rPr>
                <w:rFonts w:ascii="Times New Roman" w:hAnsi="Times New Roman"/>
              </w:rPr>
              <w:t>ustawy z dnia 17 września 2021 r. o zmianie ustawy – Prawo lotnicze oraz ustawy o Straży Granicznej</w:t>
            </w:r>
            <w:r w:rsidR="008B476D" w:rsidRPr="001214BA">
              <w:rPr>
                <w:rFonts w:ascii="Times New Roman" w:hAnsi="Times New Roman"/>
              </w:rPr>
              <w:t xml:space="preserve"> (Dz. U poz. 1898)</w:t>
            </w:r>
            <w:r w:rsidRPr="001214BA">
              <w:rPr>
                <w:rFonts w:ascii="Times New Roman" w:hAnsi="Times New Roman"/>
                <w:i/>
              </w:rPr>
              <w:t xml:space="preserve"> </w:t>
            </w:r>
            <w:r w:rsidRPr="001214BA">
              <w:rPr>
                <w:rFonts w:ascii="Times New Roman" w:hAnsi="Times New Roman"/>
              </w:rPr>
              <w:t>zachodzi potrzeba dostosowania przepisów rozporządzenia Ministra Infrastruktury z dnia 26 lipca 2021 r. w sprawie Krajowego Programu Szkolenia w zakresie ochrony lotnictwa c</w:t>
            </w:r>
            <w:r w:rsidR="00DF66FE">
              <w:rPr>
                <w:rFonts w:ascii="Times New Roman" w:hAnsi="Times New Roman"/>
              </w:rPr>
              <w:t>ywilnego (Dz. U.</w:t>
            </w:r>
            <w:r w:rsidRPr="001214BA">
              <w:rPr>
                <w:rFonts w:ascii="Times New Roman" w:hAnsi="Times New Roman"/>
              </w:rPr>
              <w:t xml:space="preserve"> poz. 1526) do nowych przepisów, w szczególności w zakresie nowych szkoleń dedykowanych dla członków załóg i personelu pokładowego stosujących środki ochrony podczas lotu i dla osób pełniących role lub wykonujących obowiązki związane z zagrożeniami dla </w:t>
            </w:r>
            <w:proofErr w:type="spellStart"/>
            <w:r w:rsidRPr="001214BA">
              <w:rPr>
                <w:rFonts w:ascii="Times New Roman" w:hAnsi="Times New Roman"/>
              </w:rPr>
              <w:t>cyberbezpieczeństwa</w:t>
            </w:r>
            <w:proofErr w:type="spellEnd"/>
            <w:r w:rsidRPr="001214BA">
              <w:rPr>
                <w:rFonts w:ascii="Times New Roman" w:hAnsi="Times New Roman"/>
              </w:rPr>
              <w:t xml:space="preserve"> oraz rozszerzonego sprawdzenia przeszłości, którym zostały objęte m.in. osoby ubiegające się</w:t>
            </w:r>
            <w:r w:rsidR="008B476D" w:rsidRPr="001214BA">
              <w:rPr>
                <w:rFonts w:ascii="Times New Roman" w:hAnsi="Times New Roman"/>
              </w:rPr>
              <w:t xml:space="preserve"> </w:t>
            </w:r>
            <w:r w:rsidRPr="001214BA">
              <w:rPr>
                <w:rFonts w:ascii="Times New Roman" w:hAnsi="Times New Roman"/>
              </w:rPr>
              <w:t>o uzyskanie uprawnień instruktora i instruktorzy</w:t>
            </w:r>
            <w:r w:rsidR="006D2535" w:rsidRPr="001214BA">
              <w:rPr>
                <w:rFonts w:ascii="Times New Roman" w:hAnsi="Times New Roman"/>
              </w:rPr>
              <w:t>.</w:t>
            </w:r>
          </w:p>
        </w:tc>
      </w:tr>
      <w:tr w:rsidR="00E74C16" w:rsidRPr="00C46BBD" w14:paraId="670BF27A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EF5CED0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E74C16" w:rsidRPr="00C46BBD" w14:paraId="0127ECF7" w14:textId="77777777" w:rsidTr="0007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200"/>
        </w:trPr>
        <w:tc>
          <w:tcPr>
            <w:tcW w:w="10937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14:paraId="50622855" w14:textId="0F5FF9CA" w:rsidR="00D87503" w:rsidRPr="00D87503" w:rsidRDefault="00D87503" w:rsidP="008B476D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D87503">
              <w:rPr>
                <w:rFonts w:ascii="Times New Roman" w:hAnsi="Times New Roman"/>
                <w:color w:val="000000"/>
                <w:spacing w:val="-2"/>
              </w:rPr>
              <w:t>Ze względu na okoliczności wskazane w pkt 1</w:t>
            </w:r>
            <w:r w:rsidR="008B476D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D87503">
              <w:rPr>
                <w:rFonts w:ascii="Times New Roman" w:hAnsi="Times New Roman"/>
                <w:color w:val="000000"/>
                <w:spacing w:val="-2"/>
              </w:rPr>
              <w:t xml:space="preserve"> uzasadnione jest wydanie rozporządzenia zmieniającego rozporządzenie Ministra Infrastruktury z dnia 26 lipca 2021 r. w sprawie Krajowego Programu Szkolenia w zakresi</w:t>
            </w:r>
            <w:r w:rsidR="00983F2E">
              <w:rPr>
                <w:rFonts w:ascii="Times New Roman" w:hAnsi="Times New Roman"/>
                <w:color w:val="000000"/>
                <w:spacing w:val="-2"/>
              </w:rPr>
              <w:t>e ochrony lotnictwa cywilnego.</w:t>
            </w:r>
          </w:p>
          <w:p w14:paraId="2CCCE4F5" w14:textId="77777777" w:rsidR="00D87503" w:rsidRPr="00D87503" w:rsidRDefault="00D87503" w:rsidP="008B476D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D87503">
              <w:rPr>
                <w:rFonts w:ascii="Times New Roman" w:hAnsi="Times New Roman"/>
                <w:color w:val="000000"/>
                <w:spacing w:val="-2"/>
              </w:rPr>
              <w:t>Najważniejsze zmiany w stosunku do obowiązujących przepisów załącznika do powyższego rozporządzenia to:</w:t>
            </w:r>
          </w:p>
          <w:p w14:paraId="4B784CA4" w14:textId="77777777" w:rsidR="00D87503" w:rsidRPr="00D87503" w:rsidRDefault="00D87503" w:rsidP="008B476D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D87503">
              <w:rPr>
                <w:rFonts w:ascii="Times New Roman" w:hAnsi="Times New Roman"/>
                <w:color w:val="000000"/>
                <w:spacing w:val="-2"/>
              </w:rPr>
              <w:t>określenie zakresu programu szkolenia dla członków załóg i personelu pokładowego stosujących środki ochrony podczas lotu;</w:t>
            </w:r>
          </w:p>
          <w:p w14:paraId="61210DE9" w14:textId="2958CDBC" w:rsidR="00D87503" w:rsidRPr="00D87503" w:rsidRDefault="00D87503" w:rsidP="008B476D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D87503">
              <w:rPr>
                <w:rFonts w:ascii="Times New Roman" w:hAnsi="Times New Roman"/>
                <w:color w:val="000000"/>
                <w:spacing w:val="-2"/>
              </w:rPr>
              <w:t>określenie zakresu programu szkolenia dla osób pełniących role lub wykonujących obowiązki związane z</w:t>
            </w:r>
            <w:r w:rsidR="00723A4C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D87503">
              <w:rPr>
                <w:rFonts w:ascii="Times New Roman" w:hAnsi="Times New Roman"/>
                <w:color w:val="000000"/>
                <w:spacing w:val="-2"/>
              </w:rPr>
              <w:t xml:space="preserve">zagrożeniami dla </w:t>
            </w:r>
            <w:proofErr w:type="spellStart"/>
            <w:r w:rsidRPr="00D87503">
              <w:rPr>
                <w:rFonts w:ascii="Times New Roman" w:hAnsi="Times New Roman"/>
                <w:color w:val="000000"/>
                <w:spacing w:val="-2"/>
              </w:rPr>
              <w:t>cyberbezpieczeństwa</w:t>
            </w:r>
            <w:proofErr w:type="spellEnd"/>
            <w:r w:rsidRPr="00D87503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C1F97C8" w14:textId="77777777" w:rsidR="00D87503" w:rsidRPr="00D87503" w:rsidRDefault="00D87503" w:rsidP="008B476D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D87503">
              <w:rPr>
                <w:rFonts w:ascii="Times New Roman" w:hAnsi="Times New Roman"/>
                <w:color w:val="000000"/>
                <w:spacing w:val="-2"/>
              </w:rPr>
              <w:t>zmiana wymogów dla osób ubiegających się o uzyskanie uprawnień instruktora;</w:t>
            </w:r>
          </w:p>
          <w:p w14:paraId="730EC253" w14:textId="77777777" w:rsidR="00D87503" w:rsidRDefault="00D87503" w:rsidP="008B476D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D87503">
              <w:rPr>
                <w:rFonts w:ascii="Times New Roman" w:hAnsi="Times New Roman"/>
                <w:color w:val="000000"/>
                <w:spacing w:val="-2"/>
              </w:rPr>
              <w:t>uaktualnienie kategorii osób podlegających szkoleniom;</w:t>
            </w:r>
          </w:p>
          <w:p w14:paraId="49B13668" w14:textId="41B9FF07" w:rsidR="009129ED" w:rsidRPr="008B476D" w:rsidRDefault="00D87503" w:rsidP="008B476D">
            <w:pPr>
              <w:numPr>
                <w:ilvl w:val="0"/>
                <w:numId w:val="9"/>
              </w:num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8B476D">
              <w:rPr>
                <w:rFonts w:ascii="Times New Roman" w:hAnsi="Times New Roman"/>
                <w:color w:val="000000"/>
                <w:spacing w:val="-2"/>
              </w:rPr>
              <w:t xml:space="preserve">zmiana </w:t>
            </w:r>
            <w:r w:rsidR="00FF24C0">
              <w:rPr>
                <w:rFonts w:ascii="Times New Roman" w:hAnsi="Times New Roman"/>
                <w:color w:val="000000"/>
                <w:spacing w:val="-2"/>
              </w:rPr>
              <w:t>reguł</w:t>
            </w:r>
            <w:r w:rsidRPr="008B476D">
              <w:rPr>
                <w:rFonts w:ascii="Times New Roman" w:hAnsi="Times New Roman"/>
                <w:color w:val="000000"/>
                <w:spacing w:val="-2"/>
              </w:rPr>
              <w:t xml:space="preserve"> ponowne</w:t>
            </w:r>
            <w:r w:rsidR="00163601">
              <w:rPr>
                <w:rFonts w:ascii="Times New Roman" w:hAnsi="Times New Roman"/>
                <w:color w:val="000000"/>
                <w:spacing w:val="-2"/>
              </w:rPr>
              <w:t xml:space="preserve">j certyfikacji </w:t>
            </w:r>
            <w:r w:rsidRPr="008B476D">
              <w:rPr>
                <w:rFonts w:ascii="Times New Roman" w:hAnsi="Times New Roman"/>
                <w:color w:val="000000"/>
                <w:spacing w:val="-2"/>
              </w:rPr>
              <w:t>operator</w:t>
            </w:r>
            <w:r w:rsidR="00163601">
              <w:rPr>
                <w:rFonts w:ascii="Times New Roman" w:hAnsi="Times New Roman"/>
                <w:color w:val="000000"/>
                <w:spacing w:val="-2"/>
              </w:rPr>
              <w:t>ów</w:t>
            </w:r>
            <w:r w:rsidRPr="008B476D">
              <w:rPr>
                <w:rFonts w:ascii="Times New Roman" w:hAnsi="Times New Roman"/>
                <w:color w:val="000000"/>
                <w:spacing w:val="-2"/>
              </w:rPr>
              <w:t xml:space="preserve"> kontroli bezpie</w:t>
            </w:r>
            <w:r w:rsidR="00163601">
              <w:rPr>
                <w:rFonts w:ascii="Times New Roman" w:hAnsi="Times New Roman"/>
                <w:color w:val="000000"/>
                <w:spacing w:val="-2"/>
              </w:rPr>
              <w:t>czeństwa będących instruktorami</w:t>
            </w:r>
            <w:r w:rsidRPr="008B476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63601">
              <w:rPr>
                <w:rFonts w:ascii="Times New Roman" w:hAnsi="Times New Roman"/>
                <w:color w:val="000000"/>
                <w:spacing w:val="-2"/>
              </w:rPr>
              <w:t>prze</w:t>
            </w:r>
            <w:r w:rsidR="00163601" w:rsidRPr="008B476D">
              <w:rPr>
                <w:rFonts w:ascii="Times New Roman" w:hAnsi="Times New Roman"/>
                <w:color w:val="000000"/>
                <w:spacing w:val="-2"/>
              </w:rPr>
              <w:t>prowadza</w:t>
            </w:r>
            <w:r w:rsidR="00163601">
              <w:rPr>
                <w:rFonts w:ascii="Times New Roman" w:hAnsi="Times New Roman"/>
                <w:color w:val="000000"/>
                <w:spacing w:val="-2"/>
              </w:rPr>
              <w:t>ją</w:t>
            </w:r>
            <w:r w:rsidR="00163601" w:rsidRPr="008B476D">
              <w:rPr>
                <w:rFonts w:ascii="Times New Roman" w:hAnsi="Times New Roman"/>
                <w:color w:val="000000"/>
                <w:spacing w:val="-2"/>
              </w:rPr>
              <w:t>cymi</w:t>
            </w:r>
            <w:r w:rsidRPr="008B476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63601" w:rsidRPr="008B476D">
              <w:rPr>
                <w:rFonts w:ascii="Times New Roman" w:hAnsi="Times New Roman"/>
                <w:color w:val="000000"/>
                <w:spacing w:val="-2"/>
              </w:rPr>
              <w:t xml:space="preserve">ponowną certyfikację operatorów kontroli bezpieczeństwa </w:t>
            </w:r>
            <w:r w:rsidRPr="008B476D">
              <w:rPr>
                <w:rFonts w:ascii="Times New Roman" w:hAnsi="Times New Roman"/>
                <w:color w:val="000000"/>
                <w:spacing w:val="-2"/>
              </w:rPr>
              <w:t xml:space="preserve">w podmiotach prowadzących </w:t>
            </w:r>
            <w:r w:rsidRPr="008B476D">
              <w:rPr>
                <w:rFonts w:ascii="Times New Roman" w:hAnsi="Times New Roman"/>
                <w:color w:val="000000"/>
                <w:spacing w:val="-2"/>
              </w:rPr>
              <w:lastRenderedPageBreak/>
              <w:t>lotniczą działalność gospodarczą i podmiotach prowadzących szkoleniową działalność gospodarczą w zakresie ochrony lotnictwa cywilnego.</w:t>
            </w:r>
          </w:p>
          <w:p w14:paraId="158DEF74" w14:textId="6D471738" w:rsidR="00D8635C" w:rsidRPr="00C46BBD" w:rsidRDefault="009129ED" w:rsidP="008B476D">
            <w:pPr>
              <w:spacing w:before="120" w:after="120"/>
              <w:jc w:val="left"/>
              <w:rPr>
                <w:rFonts w:ascii="Times New Roman" w:hAnsi="Times New Roman"/>
                <w:color w:val="000000"/>
                <w:spacing w:val="-2"/>
              </w:rPr>
            </w:pPr>
            <w:r w:rsidRPr="00D87503">
              <w:rPr>
                <w:rFonts w:ascii="Times New Roman" w:hAnsi="Times New Roman"/>
                <w:color w:val="000000"/>
                <w:spacing w:val="-2"/>
              </w:rPr>
              <w:t>Nie ma możliwości osiągnięcia celu projektu w sposób inny niż wydanie projektowanego rozporządzenia.</w:t>
            </w:r>
          </w:p>
        </w:tc>
      </w:tr>
      <w:tr w:rsidR="00E74C16" w:rsidRPr="00C46BBD" w14:paraId="54BCD496" w14:textId="77777777" w:rsidTr="00E74C16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3BA7F91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>Jak problem został rozwiązany w innych krajach, w szczególności krajach członkowskich OECD/UE</w:t>
            </w:r>
            <w:r w:rsidRPr="00C46BBD">
              <w:rPr>
                <w:rFonts w:ascii="Times New Roman" w:hAnsi="Times New Roman"/>
                <w:b/>
                <w:color w:val="000000"/>
              </w:rPr>
              <w:t>?</w:t>
            </w:r>
            <w:r w:rsidRPr="00C46BBD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E74C16" w:rsidRPr="00C46BBD" w14:paraId="23539CE8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556F210C" w14:textId="5FC699D8" w:rsidR="00E74C16" w:rsidRPr="00C46BBD" w:rsidRDefault="00B94625" w:rsidP="003A1371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B94625">
              <w:rPr>
                <w:rFonts w:ascii="Times New Roman" w:hAnsi="Times New Roman"/>
                <w:color w:val="000000"/>
                <w:spacing w:val="-2"/>
              </w:rPr>
              <w:t>Pozostałe państwa członkowskie są obowiązane do dostosowywania krajowych przepisów do obowiązującego prawa unijnego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64EE9819" w14:textId="77777777" w:rsidTr="00E74C16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9B73810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E74C16" w:rsidRPr="00C46BBD" w14:paraId="3284900D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304DF291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</w:tcPr>
          <w:p w14:paraId="395F6557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</w:tcPr>
          <w:p w14:paraId="1BBF8B15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C46BBD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1E475B41" w14:textId="77777777" w:rsidR="00E74C16" w:rsidRPr="00C46BBD" w:rsidRDefault="00E74C16" w:rsidP="00E74C16">
            <w:pPr>
              <w:spacing w:before="4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F7218D" w:rsidRPr="00C46BBD" w14:paraId="13CF195F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2297087C" w14:textId="7FDF8779" w:rsidR="00F7218D" w:rsidRPr="00C46BBD" w:rsidRDefault="002050DF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Prezes Urzędu Lotnictwa Cywilnego</w:t>
            </w:r>
          </w:p>
        </w:tc>
        <w:tc>
          <w:tcPr>
            <w:tcW w:w="2292" w:type="dxa"/>
            <w:gridSpan w:val="8"/>
          </w:tcPr>
          <w:p w14:paraId="172D34A6" w14:textId="3D5D1B54" w:rsidR="00F7218D" w:rsidRPr="00C46BBD" w:rsidRDefault="00F7218D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</w:tcPr>
          <w:p w14:paraId="3C496F3D" w14:textId="37EE2E6C" w:rsidR="00F7218D" w:rsidRPr="00C46BBD" w:rsidRDefault="0090642D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90642D">
              <w:rPr>
                <w:rFonts w:ascii="Times New Roman" w:hAnsi="Times New Roman"/>
                <w:color w:val="000000"/>
                <w:spacing w:val="-2"/>
              </w:rPr>
              <w:t>Ustawa z dnia 3 lipca 2002 r. – Prawo lotnicze</w:t>
            </w:r>
            <w:r w:rsidRPr="0090642D" w:rsidDel="0090642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683D5412" w14:textId="1AC9C235" w:rsidR="00F7218D" w:rsidRPr="00806EDB" w:rsidRDefault="0090642D" w:rsidP="00723A4C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BF179E">
              <w:rPr>
                <w:rFonts w:ascii="Times New Roman" w:hAnsi="Times New Roman"/>
                <w:color w:val="000000"/>
                <w:spacing w:val="-2"/>
              </w:rPr>
              <w:t>Pracownicy Urzędu Lotnictwa Cywilnego (ULC), realizujący zadania Prezesa Urzędu Lotnictwa Cywilnego, zwanego dalej „Prezesem Urzędu”, związane z certyfikacją osób ubiegających się o uprawnienia instruktorów, zatwierdzaniem programów szkolenia w</w:t>
            </w:r>
            <w:r w:rsidR="00723A4C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BF179E">
              <w:rPr>
                <w:rFonts w:ascii="Times New Roman" w:hAnsi="Times New Roman"/>
                <w:color w:val="000000"/>
                <w:spacing w:val="-2"/>
              </w:rPr>
              <w:t>zakresie ochrony lotnictwa cywilnego, weryfikacją dokumentacji p</w:t>
            </w:r>
            <w:r w:rsidRPr="00806EDB">
              <w:rPr>
                <w:rFonts w:ascii="Times New Roman" w:hAnsi="Times New Roman"/>
                <w:color w:val="000000"/>
                <w:spacing w:val="-2"/>
              </w:rPr>
              <w:t>otwierdzającej spełnianie wymogów przez osoby ubiegające się o</w:t>
            </w:r>
            <w:r w:rsidR="00723A4C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806EDB">
              <w:rPr>
                <w:rFonts w:ascii="Times New Roman" w:hAnsi="Times New Roman"/>
                <w:color w:val="000000"/>
                <w:spacing w:val="-2"/>
              </w:rPr>
              <w:t>uzyskanie uprawnień instruktora</w:t>
            </w:r>
            <w:r w:rsidR="00DF66F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17406F" w:rsidRPr="00C46BBD" w14:paraId="76F2B793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0B0D1B65" w14:textId="77777777" w:rsidR="0017406F" w:rsidRPr="00806EDB" w:rsidDel="002050DF" w:rsidRDefault="0017406F" w:rsidP="00F7218D">
            <w:pPr>
              <w:rPr>
                <w:rFonts w:ascii="Times New Roman" w:hAnsi="Times New Roman"/>
                <w:color w:val="000000"/>
              </w:rPr>
            </w:pPr>
            <w:r w:rsidRPr="00BF179E">
              <w:rPr>
                <w:rFonts w:ascii="Times New Roman" w:hAnsi="Times New Roman"/>
                <w:color w:val="000000"/>
              </w:rPr>
              <w:t>Minister właściwy do spraw wewnętrznych oraz służby podległe lub nadzorowane przez tego ministra</w:t>
            </w:r>
          </w:p>
        </w:tc>
        <w:tc>
          <w:tcPr>
            <w:tcW w:w="2292" w:type="dxa"/>
            <w:gridSpan w:val="8"/>
          </w:tcPr>
          <w:p w14:paraId="10E0A8EB" w14:textId="31E84EF5" w:rsidR="0017406F" w:rsidRPr="00806EDB" w:rsidRDefault="0017406F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</w:tcPr>
          <w:p w14:paraId="15BCEDD4" w14:textId="77777777" w:rsidR="0017406F" w:rsidRPr="0090642D" w:rsidRDefault="0017406F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</w:tcPr>
          <w:p w14:paraId="0BFCA92C" w14:textId="492C3967" w:rsidR="0017406F" w:rsidRPr="00BF179E" w:rsidRDefault="0017406F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BF179E">
              <w:rPr>
                <w:rFonts w:ascii="Times New Roman" w:hAnsi="Times New Roman"/>
                <w:color w:val="000000"/>
                <w:spacing w:val="-2"/>
              </w:rPr>
              <w:t>Obowiązek przedkładania dokumentacji potwierdzającej spełniane wymogów przez funkcjonariuszy i pracowników ubiegających się o uzyskanie uprawnień instruktora</w:t>
            </w:r>
            <w:r w:rsidR="00DF66F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17406F" w:rsidRPr="00C46BBD" w14:paraId="7D131EA2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58798440" w14:textId="77777777" w:rsidR="0017406F" w:rsidRPr="00C46BBD" w:rsidDel="002050DF" w:rsidRDefault="006C160C" w:rsidP="00F7218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</w:t>
            </w:r>
            <w:r w:rsidRPr="006C160C">
              <w:rPr>
                <w:rFonts w:ascii="Times New Roman" w:hAnsi="Times New Roman"/>
                <w:color w:val="000000"/>
              </w:rPr>
              <w:t>inister właściwy do spraw finansów publicznych oraz służby podległe lub nadzorowane przez tego ministra</w:t>
            </w:r>
          </w:p>
        </w:tc>
        <w:tc>
          <w:tcPr>
            <w:tcW w:w="2292" w:type="dxa"/>
            <w:gridSpan w:val="8"/>
          </w:tcPr>
          <w:p w14:paraId="48D38336" w14:textId="52889BEE" w:rsidR="0017406F" w:rsidRPr="00C46BBD" w:rsidRDefault="0017406F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</w:tcPr>
          <w:p w14:paraId="755D8109" w14:textId="77777777" w:rsidR="0017406F" w:rsidRPr="0090642D" w:rsidRDefault="0017406F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</w:tcPr>
          <w:p w14:paraId="1F2C2EFB" w14:textId="40A30F91" w:rsidR="0017406F" w:rsidRPr="0090642D" w:rsidRDefault="006C160C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6C160C">
              <w:rPr>
                <w:rFonts w:ascii="Times New Roman" w:hAnsi="Times New Roman"/>
                <w:color w:val="000000"/>
                <w:spacing w:val="-2"/>
              </w:rPr>
              <w:t>Obowiązek przedkładania dokumentacji potwierdzającej spełniane wymogów przez funkcjonariuszy i pracowników ubiegających się o uzyskanie uprawnień instruktora</w:t>
            </w:r>
            <w:r w:rsidR="00DF66F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17406F" w:rsidRPr="00C46BBD" w14:paraId="17277DEE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618B29AE" w14:textId="3E27B8AA" w:rsidR="0017406F" w:rsidRPr="00C46BBD" w:rsidDel="002050DF" w:rsidRDefault="006C160C" w:rsidP="00F7218D">
            <w:pPr>
              <w:rPr>
                <w:rFonts w:ascii="Times New Roman" w:hAnsi="Times New Roman"/>
                <w:color w:val="000000"/>
              </w:rPr>
            </w:pPr>
            <w:r w:rsidRPr="006C160C">
              <w:rPr>
                <w:rFonts w:ascii="Times New Roman" w:hAnsi="Times New Roman"/>
                <w:color w:val="000000"/>
              </w:rPr>
              <w:t xml:space="preserve">Zarządzający </w:t>
            </w:r>
            <w:r w:rsidR="00C018E4">
              <w:rPr>
                <w:rFonts w:ascii="Times New Roman" w:hAnsi="Times New Roman"/>
                <w:color w:val="000000"/>
              </w:rPr>
              <w:t xml:space="preserve">lotniskami będącymi </w:t>
            </w:r>
            <w:r w:rsidR="00843CEF">
              <w:rPr>
                <w:rFonts w:ascii="Times New Roman" w:hAnsi="Times New Roman"/>
                <w:color w:val="000000"/>
              </w:rPr>
              <w:t>po</w:t>
            </w:r>
            <w:r w:rsidR="00C42971">
              <w:rPr>
                <w:rFonts w:ascii="Times New Roman" w:hAnsi="Times New Roman"/>
                <w:color w:val="000000"/>
              </w:rPr>
              <w:t>rtami lotniczymi</w:t>
            </w:r>
          </w:p>
        </w:tc>
        <w:tc>
          <w:tcPr>
            <w:tcW w:w="2292" w:type="dxa"/>
            <w:gridSpan w:val="8"/>
          </w:tcPr>
          <w:p w14:paraId="32CAE9BA" w14:textId="14E428FA" w:rsidR="0017406F" w:rsidRPr="00C46BBD" w:rsidRDefault="006C160C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C018E4">
              <w:rPr>
                <w:rFonts w:ascii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2996" w:type="dxa"/>
            <w:gridSpan w:val="12"/>
          </w:tcPr>
          <w:p w14:paraId="2D756587" w14:textId="77777777" w:rsidR="0017406F" w:rsidRPr="0090642D" w:rsidRDefault="006C160C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ULC</w:t>
            </w:r>
          </w:p>
        </w:tc>
        <w:tc>
          <w:tcPr>
            <w:tcW w:w="2981" w:type="dxa"/>
            <w:gridSpan w:val="6"/>
          </w:tcPr>
          <w:p w14:paraId="0BC4C789" w14:textId="4A98FDC6" w:rsidR="0017406F" w:rsidRPr="0090642D" w:rsidRDefault="006C160C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6C160C">
              <w:rPr>
                <w:rFonts w:ascii="Times New Roman" w:hAnsi="Times New Roman"/>
                <w:color w:val="000000"/>
                <w:spacing w:val="-2"/>
              </w:rPr>
              <w:t xml:space="preserve">Możliwość zatwierdzenia przez Prezesa Urzędu nowych szkoleń w zakresie ochrony lotnictwa cywilnego i ich prowadzenia dla członków załóg i personelu pokładowego stosujących środki ochrony podczas lotu oraz pełniących role lub wykonujących obowiązki związane z zagrożeniami dla </w:t>
            </w:r>
            <w:proofErr w:type="spellStart"/>
            <w:r w:rsidRPr="006C160C">
              <w:rPr>
                <w:rFonts w:ascii="Times New Roman" w:hAnsi="Times New Roman"/>
                <w:color w:val="000000"/>
                <w:spacing w:val="-2"/>
              </w:rPr>
              <w:t>cyberbezpieczeństwa</w:t>
            </w:r>
            <w:proofErr w:type="spellEnd"/>
            <w:r w:rsidR="00163601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6C160C">
              <w:rPr>
                <w:rFonts w:ascii="Times New Roman" w:hAnsi="Times New Roman"/>
                <w:color w:val="000000"/>
                <w:spacing w:val="-2"/>
              </w:rPr>
              <w:t xml:space="preserve"> a także prowadzenia zajęć praktycznych z wykorzystaniem technik wirtualnej rzeczywistości</w:t>
            </w:r>
            <w:r w:rsidR="00DF66F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17406F" w:rsidRPr="00C46BBD" w14:paraId="2D047EB7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6116DEE9" w14:textId="77777777" w:rsidR="0017406F" w:rsidRPr="00C46BBD" w:rsidDel="002050DF" w:rsidRDefault="006C160C" w:rsidP="00F7218D">
            <w:pPr>
              <w:rPr>
                <w:rFonts w:ascii="Times New Roman" w:hAnsi="Times New Roman"/>
                <w:color w:val="000000"/>
              </w:rPr>
            </w:pPr>
            <w:r w:rsidRPr="006C160C">
              <w:rPr>
                <w:rFonts w:ascii="Times New Roman" w:hAnsi="Times New Roman"/>
                <w:color w:val="000000"/>
              </w:rPr>
              <w:lastRenderedPageBreak/>
              <w:t>Przewoźnicy lotniczy</w:t>
            </w:r>
          </w:p>
        </w:tc>
        <w:tc>
          <w:tcPr>
            <w:tcW w:w="2292" w:type="dxa"/>
            <w:gridSpan w:val="8"/>
          </w:tcPr>
          <w:p w14:paraId="45728D7A" w14:textId="085771EA" w:rsidR="0017406F" w:rsidRPr="00C46BBD" w:rsidRDefault="00381335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17</w:t>
            </w:r>
          </w:p>
        </w:tc>
        <w:tc>
          <w:tcPr>
            <w:tcW w:w="2996" w:type="dxa"/>
            <w:gridSpan w:val="12"/>
          </w:tcPr>
          <w:p w14:paraId="56AA4C53" w14:textId="77777777" w:rsidR="0017406F" w:rsidRPr="0090642D" w:rsidRDefault="006C160C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ULC</w:t>
            </w:r>
          </w:p>
        </w:tc>
        <w:tc>
          <w:tcPr>
            <w:tcW w:w="2981" w:type="dxa"/>
            <w:gridSpan w:val="6"/>
          </w:tcPr>
          <w:p w14:paraId="5E3EDF2C" w14:textId="6A4C756F" w:rsidR="0017406F" w:rsidRPr="0090642D" w:rsidRDefault="006C160C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6C160C">
              <w:rPr>
                <w:rFonts w:ascii="Times New Roman" w:hAnsi="Times New Roman"/>
                <w:color w:val="000000"/>
                <w:spacing w:val="-2"/>
              </w:rPr>
              <w:t xml:space="preserve">Możliwość zatwierdzenia przez Prezesa Urzędu nowych szkoleń w zakresie ochrony lotnictwa cywilnego i ich prowadzenia dla członków załóg i personelu pokładowego stosujących środki ochrony podczas lotu oraz pełniących role lub wykonujących obowiązki związane z zagrożeniami dla </w:t>
            </w:r>
            <w:proofErr w:type="spellStart"/>
            <w:r w:rsidRPr="006C160C">
              <w:rPr>
                <w:rFonts w:ascii="Times New Roman" w:hAnsi="Times New Roman"/>
                <w:color w:val="000000"/>
                <w:spacing w:val="-2"/>
              </w:rPr>
              <w:t>cyberbezpieczeństwa</w:t>
            </w:r>
            <w:proofErr w:type="spellEnd"/>
            <w:r w:rsidR="00163601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6C160C">
              <w:rPr>
                <w:rFonts w:ascii="Times New Roman" w:hAnsi="Times New Roman"/>
                <w:color w:val="000000"/>
                <w:spacing w:val="-2"/>
              </w:rPr>
              <w:t xml:space="preserve"> a także prowadzenia zajęć praktycznych z wykorzystaniem technik wirtualnej rzeczywistości</w:t>
            </w:r>
            <w:r w:rsidR="00DF66F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17406F" w:rsidRPr="00C46BBD" w14:paraId="1F6B8FFF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207E0341" w14:textId="77777777" w:rsidR="0017406F" w:rsidRPr="00C46BBD" w:rsidDel="002050DF" w:rsidRDefault="008D275A" w:rsidP="00F7218D">
            <w:pPr>
              <w:rPr>
                <w:rFonts w:ascii="Times New Roman" w:hAnsi="Times New Roman"/>
                <w:color w:val="000000"/>
              </w:rPr>
            </w:pPr>
            <w:r w:rsidRPr="008D275A">
              <w:rPr>
                <w:rFonts w:ascii="Times New Roman" w:hAnsi="Times New Roman"/>
                <w:color w:val="000000"/>
              </w:rPr>
              <w:t>Podmioty prowadzące działalność lotniczą</w:t>
            </w:r>
          </w:p>
        </w:tc>
        <w:tc>
          <w:tcPr>
            <w:tcW w:w="2292" w:type="dxa"/>
            <w:gridSpan w:val="8"/>
          </w:tcPr>
          <w:p w14:paraId="1D4FA71D" w14:textId="77777777" w:rsidR="0017406F" w:rsidRPr="00C46BBD" w:rsidRDefault="008D275A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47</w:t>
            </w:r>
          </w:p>
        </w:tc>
        <w:tc>
          <w:tcPr>
            <w:tcW w:w="2996" w:type="dxa"/>
            <w:gridSpan w:val="12"/>
          </w:tcPr>
          <w:p w14:paraId="13CAB67D" w14:textId="77777777" w:rsidR="0017406F" w:rsidRPr="0090642D" w:rsidRDefault="008D275A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ULC</w:t>
            </w:r>
          </w:p>
        </w:tc>
        <w:tc>
          <w:tcPr>
            <w:tcW w:w="2981" w:type="dxa"/>
            <w:gridSpan w:val="6"/>
          </w:tcPr>
          <w:p w14:paraId="62C7A0AA" w14:textId="124221BB" w:rsidR="0017406F" w:rsidRPr="0090642D" w:rsidRDefault="008D275A" w:rsidP="00F7218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8D275A">
              <w:rPr>
                <w:rFonts w:ascii="Times New Roman" w:hAnsi="Times New Roman"/>
                <w:color w:val="000000"/>
                <w:spacing w:val="-2"/>
              </w:rPr>
              <w:t xml:space="preserve">Możliwość zatwierdzenia przez Prezesa Urzędu nowych szkoleń w zakresie ochrony lotnictwa cywilnego i ich prowadzenia dla członków załóg i personelu pokładowego stosujących środki ochrony podczas lotu oraz pełniących role lub wykonujących obowiązki związane z zagrożeniami dla </w:t>
            </w:r>
            <w:proofErr w:type="spellStart"/>
            <w:r w:rsidRPr="008D275A">
              <w:rPr>
                <w:rFonts w:ascii="Times New Roman" w:hAnsi="Times New Roman"/>
                <w:color w:val="000000"/>
                <w:spacing w:val="-2"/>
              </w:rPr>
              <w:t>cyberbezpieczeństwa</w:t>
            </w:r>
            <w:proofErr w:type="spellEnd"/>
            <w:r w:rsidR="00163601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8D275A">
              <w:rPr>
                <w:rFonts w:ascii="Times New Roman" w:hAnsi="Times New Roman"/>
                <w:color w:val="000000"/>
                <w:spacing w:val="-2"/>
              </w:rPr>
              <w:t xml:space="preserve"> a także prowadzenia zajęć praktycznych z wykorzystaniem technik wirtualnej rzeczywistości</w:t>
            </w:r>
            <w:r w:rsidR="00DF66F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17406F" w:rsidRPr="00C46BBD" w14:paraId="771D6330" w14:textId="77777777" w:rsidTr="00E74C16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7C7FF53C" w14:textId="77777777" w:rsidR="0017406F" w:rsidRPr="00C46BBD" w:rsidDel="002050DF" w:rsidRDefault="00681018" w:rsidP="0017406F">
            <w:pPr>
              <w:rPr>
                <w:rFonts w:ascii="Times New Roman" w:hAnsi="Times New Roman"/>
                <w:color w:val="000000"/>
              </w:rPr>
            </w:pPr>
            <w:r w:rsidRPr="00681018">
              <w:rPr>
                <w:rFonts w:ascii="Times New Roman" w:hAnsi="Times New Roman"/>
                <w:color w:val="000000"/>
              </w:rPr>
              <w:t>Podmioty prowadzące szkoleniową działalność gospodarczą w zakresie ochrony lotnictwa cywilnego</w:t>
            </w:r>
          </w:p>
        </w:tc>
        <w:tc>
          <w:tcPr>
            <w:tcW w:w="2292" w:type="dxa"/>
            <w:gridSpan w:val="8"/>
          </w:tcPr>
          <w:p w14:paraId="53F00990" w14:textId="77777777" w:rsidR="0017406F" w:rsidRPr="00C46BBD" w:rsidRDefault="00681018" w:rsidP="0017406F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18</w:t>
            </w:r>
          </w:p>
        </w:tc>
        <w:tc>
          <w:tcPr>
            <w:tcW w:w="2996" w:type="dxa"/>
            <w:gridSpan w:val="12"/>
          </w:tcPr>
          <w:p w14:paraId="3AABC270" w14:textId="77777777" w:rsidR="0017406F" w:rsidRPr="0090642D" w:rsidRDefault="00681018" w:rsidP="0017406F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ULC</w:t>
            </w:r>
          </w:p>
        </w:tc>
        <w:tc>
          <w:tcPr>
            <w:tcW w:w="2981" w:type="dxa"/>
            <w:gridSpan w:val="6"/>
          </w:tcPr>
          <w:p w14:paraId="6A4F1674" w14:textId="0E14C6D2" w:rsidR="0017406F" w:rsidRPr="0090642D" w:rsidRDefault="00681018" w:rsidP="00163601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681018">
              <w:rPr>
                <w:rFonts w:ascii="Times New Roman" w:hAnsi="Times New Roman"/>
                <w:color w:val="000000"/>
                <w:spacing w:val="-2"/>
              </w:rPr>
              <w:t xml:space="preserve">Możliwość zatwierdzenia przez Prezesa Urzędu nowych szkoleń w zakresie ochrony lotnictwa cywilnego i ich prowadzenia dla członków załóg i personelu pokładowego stosujących środki ochrony podczas lotu oraz pełniących role lub wykonujących obowiązki związane z zagrożeniami dla </w:t>
            </w:r>
            <w:proofErr w:type="spellStart"/>
            <w:r w:rsidRPr="00681018">
              <w:rPr>
                <w:rFonts w:ascii="Times New Roman" w:hAnsi="Times New Roman"/>
                <w:color w:val="000000"/>
                <w:spacing w:val="-2"/>
              </w:rPr>
              <w:t>cyberbezpieczeństwa</w:t>
            </w:r>
            <w:proofErr w:type="spellEnd"/>
            <w:r w:rsidR="00163601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681018">
              <w:rPr>
                <w:rFonts w:ascii="Times New Roman" w:hAnsi="Times New Roman"/>
                <w:color w:val="000000"/>
                <w:spacing w:val="-2"/>
              </w:rPr>
              <w:t xml:space="preserve"> a także prowadzenia zajęć praktycznych z wykorzystaniem technik wirtualnej rzeczywistości</w:t>
            </w:r>
            <w:r w:rsidR="00DF66F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0421E1D1" w14:textId="77777777" w:rsidTr="00E74C16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D731CBA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E74C16" w:rsidRPr="00C46BBD" w14:paraId="1D67D1FC" w14:textId="77777777" w:rsidTr="00E74C1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22E0C507" w14:textId="244A08ED" w:rsidR="00E23E8D" w:rsidRDefault="00E23E8D" w:rsidP="008B476D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Konsultacje publiczne zostaną przeprowadzone zgodnie z trybem przewidzianym w uchwale nr 190 Rady Ministrów z dnia 29 października 2013 r. </w:t>
            </w:r>
            <w:r w:rsidR="00121D53">
              <w:rPr>
                <w:rFonts w:ascii="Times New Roman" w:hAnsi="Times New Roman"/>
                <w:color w:val="000000"/>
                <w:spacing w:val="-2"/>
              </w:rPr>
              <w:t>–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23E8D">
              <w:rPr>
                <w:rFonts w:ascii="Times New Roman" w:hAnsi="Times New Roman"/>
                <w:color w:val="000000"/>
                <w:spacing w:val="-2"/>
              </w:rPr>
              <w:t>Regulamin prac Rady Ministrów (M. P. z 2022 r. poz. 348)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23F35691" w14:textId="2A56E05F" w:rsidR="004C71F7" w:rsidRPr="00C60858" w:rsidRDefault="004C71F7" w:rsidP="008B476D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C60858">
              <w:rPr>
                <w:rFonts w:ascii="Times New Roman" w:hAnsi="Times New Roman"/>
                <w:color w:val="000000"/>
                <w:spacing w:val="-2"/>
              </w:rPr>
              <w:t>Projekt rozporządzenia zostanie udostępniony w Biuletynie Informacji Publicznej na stronie podmiotow</w:t>
            </w:r>
            <w:r w:rsidR="00DF66FE">
              <w:rPr>
                <w:rFonts w:ascii="Times New Roman" w:hAnsi="Times New Roman"/>
                <w:color w:val="000000"/>
                <w:spacing w:val="-2"/>
              </w:rPr>
              <w:t>ej Rządowego Centrum Legislacji</w:t>
            </w:r>
            <w:r w:rsidRPr="00C60858">
              <w:rPr>
                <w:rFonts w:ascii="Times New Roman" w:hAnsi="Times New Roman"/>
                <w:color w:val="000000"/>
                <w:spacing w:val="-2"/>
              </w:rPr>
              <w:t xml:space="preserve"> w serwisie Rządowy Proces Legislacyjny.</w:t>
            </w:r>
          </w:p>
          <w:p w14:paraId="1EC576B6" w14:textId="77777777" w:rsidR="007B6BAF" w:rsidRPr="007B6BAF" w:rsidRDefault="00E23E8D" w:rsidP="008B476D">
            <w:pPr>
              <w:spacing w:after="120"/>
              <w:rPr>
                <w:rFonts w:ascii="Times New Roman" w:hAnsi="Times New Roman"/>
                <w:color w:val="000000"/>
                <w:spacing w:val="-2"/>
              </w:rPr>
            </w:pPr>
            <w:r w:rsidRPr="00E23E8D">
              <w:rPr>
                <w:rFonts w:ascii="Times New Roman" w:hAnsi="Times New Roman"/>
                <w:color w:val="000000"/>
                <w:spacing w:val="-2"/>
              </w:rPr>
              <w:t>Informacja o udostepnieniu projektu zostanie przekazana do następujących podmiotów</w:t>
            </w:r>
            <w:r w:rsidR="007B6BAF" w:rsidRPr="007B6BAF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1867E7B5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958" w:hanging="284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ACS Sp. z o.o., ul. Komitetu Obrony Robotników 49, 02-146 Warszawa;</w:t>
            </w:r>
          </w:p>
          <w:p w14:paraId="6530B815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958" w:hanging="254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lastRenderedPageBreak/>
              <w:t>„AERO” Robert Szymborski, ul. Pojezierska 24/8, 91-323 Łódź;</w:t>
            </w:r>
          </w:p>
          <w:p w14:paraId="1912F9B6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958" w:hanging="254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Avsec.pl, ul. Puławska 104/11, 02-620 Warszawa;</w:t>
            </w:r>
          </w:p>
          <w:p w14:paraId="08028D2B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958" w:hanging="254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DO&amp;CO Poland Sp. z o.o., ul. Sekundowa 2, 02-178 Warszawa;</w:t>
            </w:r>
          </w:p>
          <w:p w14:paraId="64EE5A20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958" w:hanging="254"/>
              <w:rPr>
                <w:rFonts w:ascii="Times New Roman" w:hAnsi="Times New Roman"/>
                <w:color w:val="000000"/>
              </w:rPr>
            </w:pPr>
            <w:proofErr w:type="spellStart"/>
            <w:r w:rsidRPr="00854237">
              <w:rPr>
                <w:rFonts w:ascii="Times New Roman" w:hAnsi="Times New Roman"/>
                <w:color w:val="000000"/>
              </w:rPr>
              <w:t>Enter</w:t>
            </w:r>
            <w:proofErr w:type="spellEnd"/>
            <w:r w:rsidRPr="0085423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4237">
              <w:rPr>
                <w:rFonts w:ascii="Times New Roman" w:hAnsi="Times New Roman"/>
                <w:color w:val="000000"/>
              </w:rPr>
              <w:t>Air</w:t>
            </w:r>
            <w:proofErr w:type="spellEnd"/>
            <w:r w:rsidRPr="00854237">
              <w:rPr>
                <w:rFonts w:ascii="Times New Roman" w:hAnsi="Times New Roman"/>
                <w:color w:val="000000"/>
              </w:rPr>
              <w:t xml:space="preserve"> Sp. z o.o., ul. Komitetu Obrony Robotników 74, 02-146 Warszawa;</w:t>
            </w:r>
          </w:p>
          <w:p w14:paraId="27045D9C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958" w:hanging="254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„GWARANT” Agencja Ochrony S.A., ul. Cygana 2, 45-131 Opole;</w:t>
            </w:r>
          </w:p>
          <w:p w14:paraId="6D87F74C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958" w:hanging="254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JET s.c., ul. Graniczna 29a, 05-270 Marki;</w:t>
            </w:r>
          </w:p>
          <w:p w14:paraId="1426FF58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958" w:hanging="254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LS Airport Services S.A., ul. </w:t>
            </w:r>
            <w:proofErr w:type="spellStart"/>
            <w:r w:rsidRPr="00854237">
              <w:rPr>
                <w:rFonts w:ascii="Times New Roman" w:hAnsi="Times New Roman"/>
                <w:color w:val="000000"/>
                <w:lang w:val="en-US"/>
              </w:rPr>
              <w:t>Gordona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854237">
              <w:rPr>
                <w:rFonts w:ascii="Times New Roman" w:hAnsi="Times New Roman"/>
                <w:color w:val="000000"/>
                <w:lang w:val="en-US"/>
              </w:rPr>
              <w:t>Bennetta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 2b, 02-159 Warszawa;</w:t>
            </w:r>
          </w:p>
          <w:p w14:paraId="371E99A1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958" w:hanging="254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Lotnicze Pogotowie Ratunkowe, ul. Księżycowa 5, 01-934 Warszawa;</w:t>
            </w:r>
          </w:p>
          <w:p w14:paraId="2BF873FB" w14:textId="77777777" w:rsidR="00854237" w:rsidRPr="00854237" w:rsidRDefault="00854237" w:rsidP="00806EDB">
            <w:pPr>
              <w:numPr>
                <w:ilvl w:val="0"/>
                <w:numId w:val="11"/>
              </w:numPr>
              <w:tabs>
                <w:tab w:val="left" w:pos="1100"/>
              </w:tabs>
              <w:ind w:left="958" w:hanging="254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 xml:space="preserve">Mazowiecki Port Lotniczy Warszawa-Modlin Sp. z o.o., ul. Gen. Wiktora </w:t>
            </w:r>
            <w:proofErr w:type="spellStart"/>
            <w:r w:rsidRPr="00854237">
              <w:rPr>
                <w:rFonts w:ascii="Times New Roman" w:hAnsi="Times New Roman"/>
                <w:color w:val="000000"/>
              </w:rPr>
              <w:t>Thommee</w:t>
            </w:r>
            <w:proofErr w:type="spellEnd"/>
            <w:r w:rsidRPr="00854237">
              <w:rPr>
                <w:rFonts w:ascii="Times New Roman" w:hAnsi="Times New Roman"/>
                <w:color w:val="000000"/>
              </w:rPr>
              <w:t xml:space="preserve"> 1a, 05-102 Nowy Dwór Mazowiecki;</w:t>
            </w:r>
          </w:p>
          <w:p w14:paraId="75862A63" w14:textId="77777777" w:rsidR="00854237" w:rsidRPr="00854237" w:rsidRDefault="00854237" w:rsidP="00806EDB">
            <w:pPr>
              <w:numPr>
                <w:ilvl w:val="0"/>
                <w:numId w:val="11"/>
              </w:numPr>
              <w:tabs>
                <w:tab w:val="left" w:pos="1152"/>
              </w:tabs>
              <w:ind w:left="958" w:hanging="254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 xml:space="preserve">Międzynarodowy Port Lotniczy im. Jana Pawła II Kraków-Balice Sp. z o.o., ul. Kpt M. </w:t>
            </w:r>
            <w:proofErr w:type="spellStart"/>
            <w:r w:rsidRPr="00854237">
              <w:rPr>
                <w:rFonts w:ascii="Times New Roman" w:hAnsi="Times New Roman"/>
                <w:color w:val="000000"/>
              </w:rPr>
              <w:t>Medweckiego</w:t>
            </w:r>
            <w:proofErr w:type="spellEnd"/>
            <w:r w:rsidRPr="00854237">
              <w:rPr>
                <w:rFonts w:ascii="Times New Roman" w:hAnsi="Times New Roman"/>
                <w:color w:val="000000"/>
              </w:rPr>
              <w:t xml:space="preserve"> 1, 32-083 Balice;</w:t>
            </w:r>
          </w:p>
          <w:p w14:paraId="37151FBC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proofErr w:type="spellStart"/>
            <w:r w:rsidRPr="00854237">
              <w:rPr>
                <w:rFonts w:ascii="Times New Roman" w:hAnsi="Times New Roman"/>
                <w:color w:val="000000"/>
                <w:lang w:val="en-US"/>
              </w:rPr>
              <w:t>Ośrodek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854237">
              <w:rPr>
                <w:rFonts w:ascii="Times New Roman" w:hAnsi="Times New Roman"/>
                <w:color w:val="000000"/>
                <w:lang w:val="en-US"/>
              </w:rPr>
              <w:t>Szkolenia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 Falcon </w:t>
            </w:r>
            <w:proofErr w:type="spellStart"/>
            <w:r w:rsidRPr="00854237">
              <w:rPr>
                <w:rFonts w:ascii="Times New Roman" w:hAnsi="Times New Roman"/>
                <w:color w:val="000000"/>
                <w:lang w:val="en-US"/>
              </w:rPr>
              <w:t>Training&amp;Solutions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r w:rsidRPr="00854237">
              <w:rPr>
                <w:rFonts w:ascii="Times New Roman" w:hAnsi="Times New Roman"/>
                <w:bCs/>
                <w:color w:val="000000"/>
                <w:lang w:val="en-US"/>
              </w:rPr>
              <w:t xml:space="preserve">ul. </w:t>
            </w:r>
            <w:proofErr w:type="spellStart"/>
            <w:r w:rsidRPr="00854237">
              <w:rPr>
                <w:rFonts w:ascii="Times New Roman" w:hAnsi="Times New Roman"/>
                <w:bCs/>
                <w:color w:val="000000"/>
                <w:lang w:val="en-US"/>
              </w:rPr>
              <w:t>Traugutta</w:t>
            </w:r>
            <w:proofErr w:type="spellEnd"/>
            <w:r w:rsidRPr="00854237">
              <w:rPr>
                <w:rFonts w:ascii="Times New Roman" w:hAnsi="Times New Roman"/>
                <w:bCs/>
                <w:color w:val="000000"/>
                <w:lang w:val="en-US"/>
              </w:rPr>
              <w:t xml:space="preserve"> 21A, 05-200 </w:t>
            </w:r>
            <w:proofErr w:type="spellStart"/>
            <w:r w:rsidRPr="00854237">
              <w:rPr>
                <w:rFonts w:ascii="Times New Roman" w:hAnsi="Times New Roman"/>
                <w:bCs/>
                <w:color w:val="000000"/>
                <w:lang w:val="en-US"/>
              </w:rPr>
              <w:t>Wołomin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US"/>
              </w:rPr>
              <w:t>;</w:t>
            </w:r>
          </w:p>
          <w:p w14:paraId="406F4E3B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Poczta Polska S.A., ul. Rodziny Hiszpańskich 8, 00-940 Warszawa;</w:t>
            </w:r>
          </w:p>
          <w:p w14:paraId="09190C99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Polskie Linie Lotnicze LOT S.A., ul. Komitetu Obrony Robotników 43, 00-906 Warszawa;</w:t>
            </w:r>
          </w:p>
          <w:p w14:paraId="2104F0EC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Port Lotniczy im. Ignacego Jana Paderewskiego Bydgoszcz S.A., ul. Paderewskiego 1, 86-005 Białe Błota;</w:t>
            </w:r>
          </w:p>
          <w:p w14:paraId="559B4F12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Port Lotniczy Gdańsk im. Lecha Wałęsy Sp. z o.o., ul. Słowackiego 200, 80-298 Gdańsk;</w:t>
            </w:r>
          </w:p>
          <w:p w14:paraId="42354E5D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Port Lotniczy Katowice, ul. Wolności 90, 42-625 Ożarowice;</w:t>
            </w:r>
          </w:p>
          <w:p w14:paraId="120C240C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Port Lotniczy Lublin S.A., ul. Króla Jana III Sobieskiego 1, 21-040 Świdnik;</w:t>
            </w:r>
          </w:p>
          <w:p w14:paraId="76CFA72A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Port Lotniczy Łódź im. Władysława Reymonta Sp. z o.o., ul. Gen. S. Maczka 35, 94-328 Łódź;</w:t>
            </w:r>
          </w:p>
          <w:p w14:paraId="174CE90D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Port Lotniczy Poznań-Ławica Sp. z o.o., ul. Bukowska 285, 60-189 Poznań;</w:t>
            </w:r>
          </w:p>
          <w:p w14:paraId="7C9555AF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Port Lotniczy Rzeszów-Jasionka Sp. z o.o., Jasionka 942, 36-002 Jasionka;</w:t>
            </w:r>
          </w:p>
          <w:p w14:paraId="08052319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Port Lotniczy Szczecin-Goleniów im. NSZZ Solidarność Sp. z o.o., Glewice 1a, 72-100 Goleniów;</w:t>
            </w:r>
          </w:p>
          <w:p w14:paraId="482027C2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Port Lotniczy Olsztyn Mazury, Szymany 150, 12-100 Szczytno;</w:t>
            </w:r>
          </w:p>
          <w:p w14:paraId="14A227BA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Port Lotniczy Wrocław S.A., ul. Graniczna 190, 54-530 Wrocław;</w:t>
            </w:r>
          </w:p>
          <w:p w14:paraId="2BDAD3C7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Przedsiębiorstwo Państwowe „Porty Lotnicze”, ul. Żwirki i Wigury, 00-906 Warszawa;</w:t>
            </w:r>
          </w:p>
          <w:p w14:paraId="04FB3E88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854237">
              <w:rPr>
                <w:rFonts w:ascii="Times New Roman" w:hAnsi="Times New Roman"/>
                <w:color w:val="000000"/>
              </w:rPr>
              <w:t>Securitas</w:t>
            </w:r>
            <w:proofErr w:type="spellEnd"/>
            <w:r w:rsidRPr="00854237">
              <w:rPr>
                <w:rFonts w:ascii="Times New Roman" w:hAnsi="Times New Roman"/>
                <w:color w:val="000000"/>
              </w:rPr>
              <w:t xml:space="preserve"> Polska Sp. z o.o., ul. Cybernetyki 21, 02-677 Warszawa;</w:t>
            </w:r>
          </w:p>
          <w:p w14:paraId="359A9497" w14:textId="77F93C8D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854237">
              <w:rPr>
                <w:rFonts w:ascii="Times New Roman" w:hAnsi="Times New Roman"/>
                <w:color w:val="000000"/>
                <w:lang w:val="en-GB"/>
              </w:rPr>
              <w:t>Seris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854237">
              <w:rPr>
                <w:rFonts w:ascii="Times New Roman" w:hAnsi="Times New Roman"/>
                <w:color w:val="000000"/>
                <w:lang w:val="en-GB"/>
              </w:rPr>
              <w:t>Konsalnet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GB"/>
              </w:rPr>
              <w:t xml:space="preserve"> Holding S.A., ul. </w:t>
            </w:r>
            <w:r w:rsidRPr="00854237">
              <w:rPr>
                <w:rFonts w:ascii="Times New Roman" w:hAnsi="Times New Roman"/>
                <w:color w:val="000000"/>
              </w:rPr>
              <w:t>Jana Kazimierza 55, 01-267 Warszawa;</w:t>
            </w:r>
          </w:p>
          <w:p w14:paraId="06432CA4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proofErr w:type="spellStart"/>
            <w:r w:rsidRPr="00854237">
              <w:rPr>
                <w:rFonts w:ascii="Times New Roman" w:hAnsi="Times New Roman"/>
                <w:color w:val="000000"/>
              </w:rPr>
              <w:t>Sky</w:t>
            </w:r>
            <w:proofErr w:type="spellEnd"/>
            <w:r w:rsidRPr="00854237">
              <w:rPr>
                <w:rFonts w:ascii="Times New Roman" w:hAnsi="Times New Roman"/>
                <w:color w:val="000000"/>
              </w:rPr>
              <w:t xml:space="preserve"> Taxi, Skr. pocztowa 1, 54-520 Wrocław 50;</w:t>
            </w:r>
          </w:p>
          <w:p w14:paraId="5A144381" w14:textId="77777777" w:rsidR="00854237" w:rsidRPr="00854237" w:rsidRDefault="00854237" w:rsidP="00806EDB">
            <w:pPr>
              <w:numPr>
                <w:ilvl w:val="0"/>
                <w:numId w:val="11"/>
              </w:numPr>
              <w:ind w:left="1100" w:hanging="426"/>
              <w:rPr>
                <w:rFonts w:ascii="Times New Roman" w:hAnsi="Times New Roman"/>
                <w:color w:val="000000"/>
              </w:rPr>
            </w:pPr>
            <w:proofErr w:type="spellStart"/>
            <w:r w:rsidRPr="00854237">
              <w:rPr>
                <w:rFonts w:ascii="Times New Roman" w:hAnsi="Times New Roman"/>
                <w:color w:val="000000"/>
              </w:rPr>
              <w:t>SprintAir</w:t>
            </w:r>
            <w:proofErr w:type="spellEnd"/>
            <w:r w:rsidRPr="00854237">
              <w:rPr>
                <w:rFonts w:ascii="Times New Roman" w:hAnsi="Times New Roman"/>
                <w:color w:val="000000"/>
              </w:rPr>
              <w:t xml:space="preserve"> S.A., ul. Ruchliwa 22, 02-182 Warszawa;</w:t>
            </w:r>
          </w:p>
          <w:p w14:paraId="566E80FB" w14:textId="77777777" w:rsidR="00854237" w:rsidRPr="00854237" w:rsidRDefault="00854237" w:rsidP="008B476D">
            <w:pPr>
              <w:numPr>
                <w:ilvl w:val="0"/>
                <w:numId w:val="11"/>
              </w:numPr>
              <w:ind w:left="1100" w:hanging="425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S&amp;S Training &amp; Consulting, ul. </w:t>
            </w:r>
            <w:r w:rsidRPr="00854237">
              <w:rPr>
                <w:rFonts w:ascii="Times New Roman" w:hAnsi="Times New Roman"/>
                <w:color w:val="000000"/>
              </w:rPr>
              <w:t>Al. Komisji Edukacji Narodowej 22 lok. 26, 02-797 Warszawa;</w:t>
            </w:r>
          </w:p>
          <w:p w14:paraId="68570435" w14:textId="77777777" w:rsidR="00854237" w:rsidRPr="00806EDB" w:rsidRDefault="00854237" w:rsidP="008B476D">
            <w:pPr>
              <w:numPr>
                <w:ilvl w:val="0"/>
                <w:numId w:val="11"/>
              </w:numPr>
              <w:ind w:left="1100" w:hanging="425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Welcome Airport Services Sp. z </w:t>
            </w:r>
            <w:proofErr w:type="spellStart"/>
            <w:r w:rsidRPr="00854237">
              <w:rPr>
                <w:rFonts w:ascii="Times New Roman" w:hAnsi="Times New Roman"/>
                <w:color w:val="000000"/>
                <w:lang w:val="en-US"/>
              </w:rPr>
              <w:t>o.o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., ul. </w:t>
            </w:r>
            <w:proofErr w:type="spellStart"/>
            <w:r w:rsidRPr="00854237">
              <w:rPr>
                <w:rFonts w:ascii="Times New Roman" w:hAnsi="Times New Roman"/>
                <w:color w:val="000000"/>
                <w:lang w:val="en-US"/>
              </w:rPr>
              <w:t>Żwirki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854237">
              <w:rPr>
                <w:rFonts w:ascii="Times New Roman" w:hAnsi="Times New Roman"/>
                <w:color w:val="000000"/>
                <w:lang w:val="en-US"/>
              </w:rPr>
              <w:t>i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854237">
              <w:rPr>
                <w:rFonts w:ascii="Times New Roman" w:hAnsi="Times New Roman"/>
                <w:color w:val="000000"/>
                <w:lang w:val="en-US"/>
              </w:rPr>
              <w:t>Wigury</w:t>
            </w:r>
            <w:proofErr w:type="spellEnd"/>
            <w:r w:rsidRPr="00854237">
              <w:rPr>
                <w:rFonts w:ascii="Times New Roman" w:hAnsi="Times New Roman"/>
                <w:color w:val="000000"/>
                <w:lang w:val="en-US"/>
              </w:rPr>
              <w:t xml:space="preserve"> 1, 00-906 Warszawa;</w:t>
            </w:r>
          </w:p>
          <w:p w14:paraId="6D495C16" w14:textId="77777777" w:rsidR="00854237" w:rsidRPr="00854237" w:rsidRDefault="00854237" w:rsidP="008B476D">
            <w:pPr>
              <w:numPr>
                <w:ilvl w:val="0"/>
                <w:numId w:val="11"/>
              </w:numPr>
              <w:spacing w:after="120"/>
              <w:ind w:left="1100" w:hanging="426"/>
              <w:rPr>
                <w:rFonts w:ascii="Times New Roman" w:hAnsi="Times New Roman"/>
                <w:color w:val="000000"/>
              </w:rPr>
            </w:pPr>
            <w:r w:rsidRPr="00854237">
              <w:rPr>
                <w:rFonts w:ascii="Times New Roman" w:hAnsi="Times New Roman"/>
                <w:color w:val="000000"/>
              </w:rPr>
              <w:t>WRO-LOT Usługi Lotniskowe Sp. z o.o., ul. Skarżyńskiego 36, 54-530 Wrocław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544EE6FF" w14:textId="77777777" w:rsidR="007B6BAF" w:rsidRDefault="0068491A" w:rsidP="008B476D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Konsultacje będą trwały 14 dni.</w:t>
            </w:r>
          </w:p>
          <w:p w14:paraId="1C485168" w14:textId="775ED279" w:rsidR="00E74C16" w:rsidRPr="00C60858" w:rsidRDefault="0068491A" w:rsidP="008B476D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68491A">
              <w:rPr>
                <w:rFonts w:ascii="Times New Roman" w:hAnsi="Times New Roman"/>
                <w:color w:val="000000"/>
                <w:spacing w:val="-2"/>
              </w:rPr>
              <w:t>Z uwagi na fakt, że projekt nie dotyczy problematyki zadań związków zawodowych oraz organizacji pracodawców, nie podlega on opiniowaniu przez reprezentatywne związki zawodowe oraz organizacje pracodawców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74C16" w:rsidRPr="00C46BBD" w14:paraId="24D46C3E" w14:textId="77777777" w:rsidTr="00E74C16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2EF63CD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E74C16" w:rsidRPr="00C46BBD" w14:paraId="06E0DB7E" w14:textId="77777777" w:rsidTr="00E74C16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044945EB" w14:textId="77777777" w:rsidR="00E74C16" w:rsidRPr="00C46BBD" w:rsidRDefault="00E74C16" w:rsidP="00E74C16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(ceny stałe z 20</w:t>
            </w:r>
            <w:r w:rsidR="00FC564D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0A0BEF1D" w14:textId="77777777" w:rsidR="00E74C16" w:rsidRPr="00C46BBD" w:rsidRDefault="00E74C16" w:rsidP="00E74C16">
            <w:pPr>
              <w:spacing w:before="40" w:after="40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E74C16" w:rsidRPr="00C46BBD" w14:paraId="75AC3C05" w14:textId="77777777" w:rsidTr="00E74C16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7B512DD6" w14:textId="77777777" w:rsidR="00E74C16" w:rsidRPr="00C46BBD" w:rsidRDefault="00E74C16" w:rsidP="00E74C16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74586C5E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423546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02CA9F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82409E8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9CE273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02A80F1A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4580A34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08C1162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83B8AE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050BED5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44B5C021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0B988829" w14:textId="77777777" w:rsidR="00E74C16" w:rsidRPr="00C46BBD" w:rsidRDefault="00E74C16" w:rsidP="00E74C16">
            <w:pPr>
              <w:spacing w:before="40" w:after="40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CB3338" w:rsidRPr="00C46BBD" w14:paraId="7FAC113F" w14:textId="77777777" w:rsidTr="00E74C1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B8795AF" w14:textId="77777777" w:rsidR="00CB3338" w:rsidRPr="00C46BBD" w:rsidRDefault="00CB3338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B863CCE" w14:textId="02252182" w:rsidR="00CB3338" w:rsidRDefault="00FA2E0B" w:rsidP="00121D53"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</w:t>
            </w:r>
            <w:r w:rsidR="005652C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D789C4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CD29BA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3C6926C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EC088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10F43CE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1A93B35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4514663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05E74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68597A9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E17E936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65AAD03" w14:textId="65832242" w:rsidR="00CB3338" w:rsidRDefault="00FA2E0B" w:rsidP="00121D53"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</w:t>
            </w:r>
            <w:r w:rsidR="004F1D9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:rsidR="00CB3338" w:rsidRPr="00C46BBD" w14:paraId="53931542" w14:textId="77777777" w:rsidTr="00E74C1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71E90D5" w14:textId="77777777" w:rsidR="00CB3338" w:rsidRPr="00C46BBD" w:rsidRDefault="00CB3338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AA6E112" w14:textId="72C63A5B" w:rsidR="00CB3338" w:rsidRDefault="00FA2E0B" w:rsidP="00121D53"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</w:t>
            </w:r>
            <w:r w:rsidR="004F1D9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F153107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06A9F1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9B2589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FCA099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BA9D2F8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D0F2F37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A931085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6ED995B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4210622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1F52A89" w14:textId="77777777" w:rsidR="00CB3338" w:rsidRDefault="00CB3338">
            <w:r w:rsidRPr="00496561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56D77A1" w14:textId="39B9B9FB" w:rsidR="00CB3338" w:rsidRDefault="00FA2E0B" w:rsidP="00121D53"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</w:t>
            </w:r>
            <w:r w:rsidR="004F1D9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:rsidR="00E74C16" w:rsidRPr="00C46BBD" w14:paraId="16D07BE4" w14:textId="77777777" w:rsidTr="00E74C1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CA3608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2BB66A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5CCF7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8F925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FEE27D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7A3B5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2435E3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D81FCC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ECB633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AA17A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5A90C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870E8B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E9CF78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53DE311A" w14:textId="77777777" w:rsidTr="00E74C1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72D93E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A8FAFA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517B7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FB7FF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86915D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2780DF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2BD427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1AB480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2F770B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9AAED9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69F95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59095D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6D13B5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237127B1" w14:textId="77777777" w:rsidTr="00E74C1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E0E8AC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EEF20C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C9516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43BCF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5B561E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A7A367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D88086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6B873AC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D3A762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6D3D34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5DBA4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1BF8A43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C27F1B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1912B18A" w14:textId="77777777" w:rsidTr="00E74C1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70C70E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354A30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FE9A6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766C5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426EFF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CFBC1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06F28B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3794846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ED678D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4E6225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BBFA4A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21CF7C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C5A8E5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F5DBE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654B1910" w14:textId="77777777" w:rsidTr="00E74C1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D31B52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6FE7D1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11CDE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215A63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3971AE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F0A26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8924A7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F4082C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8E6500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698214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41CF1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8B1F8E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EA75A9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46B221F1" w14:textId="77777777" w:rsidTr="00E74C1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D0D5C3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497AF4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2C15F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52FF5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31A944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B85D2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4DACC2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8D6E15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68F930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087E3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9DFA5F3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3EE59A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9F3528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048A1670" w14:textId="77777777" w:rsidTr="00E74C1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ACD020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5D39A76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D98B7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1C92676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CD52D7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3F4D8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C8F3A7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DC3E1EB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EBECEA9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90AFE8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D2CE9E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34D53E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8976F0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C5105B" w:rsidRPr="00C46BBD" w14:paraId="5F4D0809" w14:textId="77777777" w:rsidTr="00E74C1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08B8C72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497CF60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FB672D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B1DFE5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BE73706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36AB0F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C4D3C0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A04FA18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BFB0F81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8ECF2E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6AF19B7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67A3A94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A2602FA" w14:textId="77777777" w:rsidR="00C5105B" w:rsidRPr="00C46BBD" w:rsidRDefault="00C5105B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70E9D882" w14:textId="77777777" w:rsidTr="00E74C1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93A2B9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7A7366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4DE81C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268FC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D65C9B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F91D5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3E7901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590659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F96A03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08CF43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A8279B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A83314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60535B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0B939CB7" w14:textId="77777777" w:rsidTr="00E74C1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623F42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C5B536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9BE70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5FA78A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4F4076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CC8E6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280B22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E406C9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892F3E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A429A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DFD19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178CF2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2B096B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74C16" w:rsidRPr="00C46BBD" w14:paraId="15E9EACB" w14:textId="77777777" w:rsidTr="00AF56C1">
        <w:trPr>
          <w:gridAfter w:val="1"/>
          <w:wAfter w:w="10" w:type="dxa"/>
          <w:trHeight w:val="510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38EFD9F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489CF7D" w14:textId="34CE6585" w:rsidR="00E74C16" w:rsidRPr="00FC564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F56C1" w:rsidRPr="00C46BBD" w14:paraId="2B66600E" w14:textId="77777777" w:rsidTr="00E74C16">
        <w:trPr>
          <w:gridAfter w:val="1"/>
          <w:wAfter w:w="10" w:type="dxa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49E1354D" w14:textId="77777777" w:rsidR="00AF56C1" w:rsidRPr="00C46BBD" w:rsidRDefault="00AF56C1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FC6B6B8" w14:textId="00DF2B02" w:rsidR="00464D54" w:rsidRPr="00464D54" w:rsidRDefault="00464D54" w:rsidP="00464D54">
            <w:pPr>
              <w:rPr>
                <w:rFonts w:ascii="Times New Roman" w:hAnsi="Times New Roman"/>
                <w:iCs/>
                <w:color w:val="000000"/>
                <w:sz w:val="21"/>
                <w:szCs w:val="21"/>
              </w:rPr>
            </w:pPr>
            <w:bookmarkStart w:id="4" w:name="_Hlk119413519"/>
            <w:r w:rsidRPr="00464D54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Szacowanie wpływów z tytułu opłat lotniczych w obszarze szkoleń z zakresu ochrony lotnictwa cywilnego oparto na danych z 2022 r., wg </w:t>
            </w:r>
            <w:r w:rsidR="00121D53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stawek </w:t>
            </w:r>
            <w:r w:rsidRPr="00464D54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opłat lotn</w:t>
            </w:r>
            <w:r w:rsidR="00983F2E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iczych obowiązujących w 2022 r.</w:t>
            </w:r>
          </w:p>
          <w:p w14:paraId="655C9253" w14:textId="3ECD9B1D" w:rsidR="00AF56C1" w:rsidRPr="00C46BBD" w:rsidRDefault="00464D54" w:rsidP="00121D5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64D54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Na podstawie danych własnych </w:t>
            </w:r>
            <w:r w:rsidR="00163601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ULC</w:t>
            </w:r>
            <w:r w:rsidR="00853AB7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 oszacowano, że</w:t>
            </w:r>
            <w:r w:rsidRPr="00464D54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 </w:t>
            </w:r>
            <w:r w:rsidR="00163601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w roku wejścia w życie</w:t>
            </w:r>
            <w:r w:rsidRPr="00464D5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16360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projektowanego </w:t>
            </w:r>
            <w:r w:rsidR="00853AB7">
              <w:rPr>
                <w:rFonts w:ascii="Times New Roman" w:hAnsi="Times New Roman"/>
                <w:color w:val="000000"/>
                <w:sz w:val="21"/>
                <w:szCs w:val="21"/>
              </w:rPr>
              <w:t>rozporządzenia</w:t>
            </w:r>
            <w:r w:rsidRPr="00464D54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 wysokość dochodów budżetu państwa, </w:t>
            </w:r>
            <w:r w:rsidR="00853AB7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obliczona z uwzględnieniem wysokości stawek opłat </w:t>
            </w:r>
            <w:r w:rsidRPr="00464D54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lotniczych obowiązujących w 2022 r., </w:t>
            </w:r>
            <w:r w:rsidRPr="00464D54">
              <w:rPr>
                <w:rFonts w:ascii="Times New Roman" w:hAnsi="Times New Roman"/>
                <w:color w:val="000000"/>
                <w:sz w:val="21"/>
                <w:szCs w:val="21"/>
              </w:rPr>
              <w:t>przy założeniu, że wszystkie porty lotnicze, podmioty prowadzące lotniczą działalność gospodarczą i szkoleniową działalność gospodarczą w zakresie ochrony lotnictwa cywilnego</w:t>
            </w:r>
            <w:r w:rsidR="00853AB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wystąpią do Prezesa </w:t>
            </w:r>
            <w:r w:rsidR="0089560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Urzędu </w:t>
            </w:r>
            <w:r w:rsidR="00853AB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 zatwierdzenie </w:t>
            </w:r>
            <w:r w:rsidR="005B5F7D" w:rsidRPr="005B5F7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nowych programów szkolenia dedykowanych dla członków załóg i personelu pokładowego stosujących środki ochrony podczas lotu i pełniących role lub wykonujących obowiązki związane z zagrożeniami dla </w:t>
            </w:r>
            <w:proofErr w:type="spellStart"/>
            <w:r w:rsidR="005B5F7D" w:rsidRPr="005B5F7D">
              <w:rPr>
                <w:rFonts w:ascii="Times New Roman" w:hAnsi="Times New Roman"/>
                <w:color w:val="000000"/>
                <w:sz w:val="21"/>
                <w:szCs w:val="21"/>
              </w:rPr>
              <w:t>cyberbezpieczeństwa</w:t>
            </w:r>
            <w:proofErr w:type="spellEnd"/>
            <w:r w:rsidR="005B5F7D" w:rsidRPr="005B5F7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oraz zaktualizowanych programów specjalistycznego szkolenia</w:t>
            </w:r>
            <w:r w:rsidR="001278D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zawodowego</w:t>
            </w:r>
            <w:r w:rsidR="005B5F7D" w:rsidRPr="005B5F7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osób przeszukujących statki powietrzne pod kątem ochrony, </w:t>
            </w:r>
            <w:r w:rsidR="005B5F7D" w:rsidRPr="005B5F7D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wyniesie </w:t>
            </w:r>
            <w:r w:rsidR="008A0521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20</w:t>
            </w:r>
            <w:r w:rsidR="00121D53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 </w:t>
            </w:r>
            <w:r w:rsidR="008A0521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09</w:t>
            </w:r>
            <w:r w:rsidR="00121D53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0,</w:t>
            </w:r>
            <w:r w:rsidR="00C25491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00</w:t>
            </w:r>
            <w:r w:rsidR="005B5F7D" w:rsidRPr="005B5F7D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 zł (</w:t>
            </w:r>
            <w:r w:rsidR="004328CD" w:rsidRPr="005B5F7D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8</w:t>
            </w:r>
            <w:r w:rsidR="004328CD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2</w:t>
            </w:r>
            <w:r w:rsidR="004328CD" w:rsidRPr="005B5F7D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 </w:t>
            </w:r>
            <w:r w:rsidR="005B5F7D" w:rsidRPr="005B5F7D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program</w:t>
            </w:r>
            <w:r w:rsidR="00121D53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y</w:t>
            </w:r>
            <w:r w:rsidR="005B5F7D" w:rsidRPr="005B5F7D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 szkolenia</w:t>
            </w:r>
            <w:r w:rsidR="00121D53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 wg stanu na dzień 8 grudnia 2022 r.</w:t>
            </w:r>
            <w:r w:rsidR="005B5F7D" w:rsidRPr="005B5F7D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 x 245 zł)</w:t>
            </w:r>
            <w:r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>.</w:t>
            </w:r>
            <w:bookmarkEnd w:id="4"/>
          </w:p>
        </w:tc>
      </w:tr>
      <w:tr w:rsidR="00E74C16" w:rsidRPr="00C46BBD" w14:paraId="4DBD32F6" w14:textId="77777777" w:rsidTr="00E74C16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3491858D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C46BBD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E74C16" w:rsidRPr="00C46BBD" w14:paraId="62688410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E58DECE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E74C16" w:rsidRPr="00C46BBD" w14:paraId="61A3A3F9" w14:textId="77777777" w:rsidTr="00E74C16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5E9F442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F05C2E4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B1265F1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BDDA278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0AEC038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B10EA08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2EEE588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51E88E30" w14:textId="77777777" w:rsidR="00E74C16" w:rsidRPr="00C46BBD" w:rsidRDefault="00E74C16" w:rsidP="00E74C16">
            <w:pPr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C46BBD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C46BBD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D8635C" w:rsidRPr="00C46BBD" w14:paraId="078F4D6B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5DD66DCF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W ujęciu pieniężnym</w:t>
            </w:r>
          </w:p>
          <w:p w14:paraId="063F7CB0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(w mln zł, </w:t>
            </w:r>
          </w:p>
          <w:p w14:paraId="4C9F2149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ceny stałe z 20</w:t>
            </w:r>
            <w:r w:rsidR="00FC564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22</w:t>
            </w: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FCCD3F3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FEBD05E" w14:textId="67E048CA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651E1B">
              <w:rPr>
                <w:rFonts w:ascii="Times New Roman" w:hAnsi="Times New Roman"/>
                <w:color w:val="000000"/>
                <w:sz w:val="21"/>
                <w:szCs w:val="21"/>
              </w:rPr>
              <w:t>,12</w:t>
            </w:r>
            <w:r w:rsidR="00E6402F">
              <w:rPr>
                <w:rFonts w:ascii="Times New Roman" w:hAnsi="Times New Roman"/>
                <w:color w:val="000000"/>
                <w:sz w:val="21"/>
                <w:szCs w:val="21"/>
              </w:rPr>
              <w:t>688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4A57DBD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BD5A276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7DC66ACC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FFBFD89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13A3A20" w14:textId="77777777" w:rsidR="00D8635C" w:rsidRPr="00C46BBD" w:rsidRDefault="00D8635C" w:rsidP="00D8635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71D4B0CB" w14:textId="4A28D11B" w:rsidR="00D8635C" w:rsidRPr="00C46BBD" w:rsidRDefault="00D8635C" w:rsidP="00D8635C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  <w:r w:rsidR="00FB4A8F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,12</w:t>
            </w:r>
            <w:r w:rsidR="00F867AF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688</w:t>
            </w:r>
          </w:p>
        </w:tc>
      </w:tr>
      <w:tr w:rsidR="00E74C16" w:rsidRPr="00C46BBD" w14:paraId="46F203CA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1F99A41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439C6B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78A81E7" w14:textId="7D0D9AD4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075B82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651E1B">
              <w:rPr>
                <w:rFonts w:ascii="Times New Roman" w:hAnsi="Times New Roman"/>
                <w:color w:val="000000"/>
                <w:sz w:val="21"/>
                <w:szCs w:val="21"/>
              </w:rPr>
              <w:t>07</w:t>
            </w:r>
            <w:r w:rsidR="00F867AF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  <w:r w:rsidR="0079638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7A63FB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FE6AC7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F7417E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3C66A6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DED286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6E3373E5" w14:textId="0DF9AE14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  <w:r w:rsidR="00402928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,</w:t>
            </w:r>
            <w:r w:rsidR="00FB4A8F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  <w:r w:rsidR="00930A2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7</w:t>
            </w:r>
            <w:r w:rsidR="00F867AF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40</w:t>
            </w:r>
            <w:r w:rsidR="005D6324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2</w:t>
            </w:r>
          </w:p>
        </w:tc>
      </w:tr>
      <w:tr w:rsidR="00E74C16" w:rsidRPr="00C46BBD" w14:paraId="50FB4EBA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D882FE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CA3853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83B75D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C2381C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935B71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CBE798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248E70B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1D450E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2930D22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74C16" w:rsidRPr="00C46BBD" w14:paraId="7F81A1B3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54081B9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6188BB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6B5977F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 na tę grupę podmiotów.</w:t>
            </w:r>
          </w:p>
        </w:tc>
      </w:tr>
      <w:tr w:rsidR="00E74C16" w:rsidRPr="00C46BBD" w14:paraId="6862C644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2B25439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F9DEF1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8EAF26A" w14:textId="77777777" w:rsidR="00E74C16" w:rsidRPr="00C46BBD" w:rsidRDefault="00CB3338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 na tę grupę podmiotów.</w:t>
            </w:r>
          </w:p>
        </w:tc>
      </w:tr>
      <w:tr w:rsidR="00E74C16" w:rsidRPr="00C46BBD" w14:paraId="645E9FD3" w14:textId="77777777" w:rsidTr="00E74C16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305CFEF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AAEF30B" w14:textId="77777777" w:rsidR="00E74C16" w:rsidRPr="00C46BBD" w:rsidRDefault="00E74C16" w:rsidP="00E74C16">
            <w:pPr>
              <w:tabs>
                <w:tab w:val="right" w:pos="1936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rodzina, obywatele oraz gospodarstwa domowe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4AEE39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 na tę grupę podmiotów.</w:t>
            </w:r>
          </w:p>
        </w:tc>
      </w:tr>
      <w:tr w:rsidR="00E74C16" w:rsidRPr="00C46BBD" w14:paraId="48A86490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1D265EC9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640F0588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2F541B4F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74C16" w:rsidRPr="00C46BBD" w14:paraId="1148F766" w14:textId="77777777" w:rsidTr="00E74C1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F26D15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F3AA99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5888C06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74C16" w:rsidRPr="00C46BBD" w14:paraId="26B3E4C8" w14:textId="77777777" w:rsidTr="00E74C16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3747B356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46B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500CAC6" w14:textId="5E7C8384" w:rsidR="0051195A" w:rsidRDefault="0051195A" w:rsidP="00DA0359">
            <w:pPr>
              <w:spacing w:before="120" w:after="120"/>
              <w:rPr>
                <w:rFonts w:ascii="Times New Roman" w:hAnsi="Times New Roman"/>
                <w:lang w:eastAsia="pl-PL"/>
              </w:rPr>
            </w:pPr>
            <w:r w:rsidRPr="0051195A">
              <w:rPr>
                <w:rFonts w:ascii="Times New Roman" w:hAnsi="Times New Roman"/>
                <w:lang w:eastAsia="pl-PL"/>
              </w:rPr>
              <w:t xml:space="preserve">W ujęciu pieniężnym, w zakresie </w:t>
            </w:r>
            <w:r>
              <w:rPr>
                <w:rFonts w:ascii="Times New Roman" w:hAnsi="Times New Roman"/>
                <w:lang w:eastAsia="pl-PL"/>
              </w:rPr>
              <w:t>zatwierdz</w:t>
            </w:r>
            <w:r w:rsidR="00A46B03">
              <w:rPr>
                <w:rFonts w:ascii="Times New Roman" w:hAnsi="Times New Roman"/>
                <w:lang w:eastAsia="pl-PL"/>
              </w:rPr>
              <w:t>enia</w:t>
            </w:r>
            <w:r w:rsidR="00615441">
              <w:rPr>
                <w:rFonts w:ascii="Times New Roman" w:hAnsi="Times New Roman"/>
                <w:lang w:eastAsia="pl-PL"/>
              </w:rPr>
              <w:t xml:space="preserve"> </w:t>
            </w:r>
            <w:r w:rsidR="00615441" w:rsidRPr="00615441">
              <w:rPr>
                <w:rFonts w:ascii="Times New Roman" w:hAnsi="Times New Roman"/>
                <w:lang w:eastAsia="pl-PL"/>
              </w:rPr>
              <w:t>nowych programów szkolenia dedykowanych dla członków załóg i personelu pokładowego stosujących środki ochrony podczas lotu i</w:t>
            </w:r>
            <w:r w:rsidR="00723A4C">
              <w:rPr>
                <w:rFonts w:ascii="Times New Roman" w:hAnsi="Times New Roman"/>
                <w:lang w:eastAsia="pl-PL"/>
              </w:rPr>
              <w:t> </w:t>
            </w:r>
            <w:r w:rsidR="00615441" w:rsidRPr="00615441">
              <w:rPr>
                <w:rFonts w:ascii="Times New Roman" w:hAnsi="Times New Roman"/>
                <w:lang w:eastAsia="pl-PL"/>
              </w:rPr>
              <w:t xml:space="preserve">pełniących role lub wykonujących obowiązki związane z zagrożeniami dla </w:t>
            </w:r>
            <w:proofErr w:type="spellStart"/>
            <w:r w:rsidR="00615441" w:rsidRPr="00615441">
              <w:rPr>
                <w:rFonts w:ascii="Times New Roman" w:hAnsi="Times New Roman"/>
                <w:lang w:eastAsia="pl-PL"/>
              </w:rPr>
              <w:t>cyberbezpieczeństwa</w:t>
            </w:r>
            <w:proofErr w:type="spellEnd"/>
            <w:r w:rsidR="00615441" w:rsidRPr="00615441">
              <w:rPr>
                <w:rFonts w:ascii="Times New Roman" w:hAnsi="Times New Roman"/>
                <w:lang w:eastAsia="pl-PL"/>
              </w:rPr>
              <w:t xml:space="preserve"> oraz zaktualizowanych programów specjalistycznego </w:t>
            </w:r>
            <w:r w:rsidR="00151D47">
              <w:rPr>
                <w:rFonts w:ascii="Times New Roman" w:hAnsi="Times New Roman"/>
                <w:lang w:eastAsia="pl-PL"/>
              </w:rPr>
              <w:t xml:space="preserve">szkolenia </w:t>
            </w:r>
            <w:r w:rsidR="00615441" w:rsidRPr="00615441">
              <w:rPr>
                <w:rFonts w:ascii="Times New Roman" w:hAnsi="Times New Roman"/>
                <w:lang w:eastAsia="pl-PL"/>
              </w:rPr>
              <w:t>zawodowego osób przeszukujących statki powietrzne pod kątem ochrony</w:t>
            </w:r>
            <w:r w:rsidRPr="0051195A">
              <w:rPr>
                <w:rFonts w:ascii="Times New Roman" w:hAnsi="Times New Roman"/>
                <w:lang w:eastAsia="pl-PL"/>
              </w:rPr>
              <w:t>, propozycje tych zmian będą oddziaływały na dużych przedsiębiorców oraz sektor mikro, małych i średnich przedsiębiorstw.</w:t>
            </w:r>
            <w:r w:rsidR="00B15CC4">
              <w:rPr>
                <w:rFonts w:ascii="Times New Roman" w:hAnsi="Times New Roman"/>
                <w:lang w:eastAsia="pl-PL"/>
              </w:rPr>
              <w:t xml:space="preserve"> Koszt </w:t>
            </w:r>
            <w:r w:rsidR="00BE4D39">
              <w:rPr>
                <w:rFonts w:ascii="Times New Roman" w:hAnsi="Times New Roman"/>
                <w:lang w:eastAsia="pl-PL"/>
              </w:rPr>
              <w:t>dla podmiotów, któr</w:t>
            </w:r>
            <w:r w:rsidR="00797E88">
              <w:rPr>
                <w:rFonts w:ascii="Times New Roman" w:hAnsi="Times New Roman"/>
                <w:lang w:eastAsia="pl-PL"/>
              </w:rPr>
              <w:t>e</w:t>
            </w:r>
            <w:r w:rsidR="002D40FA">
              <w:rPr>
                <w:rFonts w:ascii="Times New Roman" w:hAnsi="Times New Roman"/>
                <w:lang w:eastAsia="pl-PL"/>
              </w:rPr>
              <w:t xml:space="preserve"> </w:t>
            </w:r>
            <w:r w:rsidR="00BE4D39">
              <w:rPr>
                <w:rFonts w:ascii="Times New Roman" w:hAnsi="Times New Roman"/>
                <w:lang w:eastAsia="pl-PL"/>
              </w:rPr>
              <w:t xml:space="preserve">przedłożą te programy do zatwierdzenia </w:t>
            </w:r>
            <w:r w:rsidR="003C0808">
              <w:rPr>
                <w:rFonts w:ascii="Times New Roman" w:hAnsi="Times New Roman"/>
                <w:lang w:eastAsia="pl-PL"/>
              </w:rPr>
              <w:t>przez Prezesa Urzędu</w:t>
            </w:r>
            <w:r w:rsidR="00797E88">
              <w:rPr>
                <w:rFonts w:ascii="Times New Roman" w:hAnsi="Times New Roman"/>
                <w:lang w:eastAsia="pl-PL"/>
              </w:rPr>
              <w:t>,</w:t>
            </w:r>
            <w:r w:rsidR="003C0808">
              <w:rPr>
                <w:rFonts w:ascii="Times New Roman" w:hAnsi="Times New Roman"/>
                <w:lang w:eastAsia="pl-PL"/>
              </w:rPr>
              <w:t xml:space="preserve"> będzie wynosił od </w:t>
            </w:r>
            <w:r w:rsidR="00C0706B">
              <w:rPr>
                <w:rFonts w:ascii="Times New Roman" w:hAnsi="Times New Roman"/>
                <w:lang w:eastAsia="pl-PL"/>
              </w:rPr>
              <w:t>490</w:t>
            </w:r>
            <w:r w:rsidR="00723A4C">
              <w:rPr>
                <w:rFonts w:ascii="Times New Roman" w:hAnsi="Times New Roman"/>
                <w:lang w:eastAsia="pl-PL"/>
              </w:rPr>
              <w:t xml:space="preserve"> zł (2x245 zł)</w:t>
            </w:r>
            <w:r w:rsidR="003C0808">
              <w:rPr>
                <w:rFonts w:ascii="Times New Roman" w:hAnsi="Times New Roman"/>
                <w:lang w:eastAsia="pl-PL"/>
              </w:rPr>
              <w:t xml:space="preserve"> do </w:t>
            </w:r>
            <w:r w:rsidR="002D40FA">
              <w:rPr>
                <w:rFonts w:ascii="Times New Roman" w:hAnsi="Times New Roman"/>
                <w:lang w:eastAsia="pl-PL"/>
              </w:rPr>
              <w:t>735</w:t>
            </w:r>
            <w:r w:rsidR="00723A4C">
              <w:rPr>
                <w:rFonts w:ascii="Times New Roman" w:hAnsi="Times New Roman"/>
                <w:lang w:eastAsia="pl-PL"/>
              </w:rPr>
              <w:t xml:space="preserve"> zł (3x245 zł)</w:t>
            </w:r>
            <w:r w:rsidR="00E64617">
              <w:rPr>
                <w:rFonts w:ascii="Times New Roman" w:hAnsi="Times New Roman"/>
                <w:lang w:eastAsia="pl-PL"/>
              </w:rPr>
              <w:t>.</w:t>
            </w:r>
            <w:r w:rsidR="00BE4D39">
              <w:rPr>
                <w:rFonts w:ascii="Times New Roman" w:hAnsi="Times New Roman"/>
                <w:lang w:eastAsia="pl-PL"/>
              </w:rPr>
              <w:t xml:space="preserve"> </w:t>
            </w:r>
            <w:r w:rsidR="0015751D">
              <w:rPr>
                <w:rFonts w:ascii="Times New Roman" w:hAnsi="Times New Roman"/>
                <w:lang w:eastAsia="pl-PL"/>
              </w:rPr>
              <w:t xml:space="preserve">Ponadto </w:t>
            </w:r>
            <w:r w:rsidR="000B303B">
              <w:rPr>
                <w:rFonts w:ascii="Times New Roman" w:hAnsi="Times New Roman"/>
                <w:lang w:eastAsia="pl-PL"/>
              </w:rPr>
              <w:t xml:space="preserve">polscy przewoźnicy lotniczy będą ponosić koszty </w:t>
            </w:r>
            <w:r w:rsidR="00B6135E">
              <w:rPr>
                <w:rFonts w:ascii="Times New Roman" w:hAnsi="Times New Roman"/>
                <w:lang w:eastAsia="pl-PL"/>
              </w:rPr>
              <w:t xml:space="preserve">szkolenia </w:t>
            </w:r>
            <w:r w:rsidR="00B6135E" w:rsidRPr="00B6135E">
              <w:rPr>
                <w:rFonts w:ascii="Times New Roman" w:hAnsi="Times New Roman"/>
                <w:lang w:eastAsia="pl-PL"/>
              </w:rPr>
              <w:t>członków załóg i personelu pokładowego</w:t>
            </w:r>
            <w:r w:rsidR="00151D47">
              <w:rPr>
                <w:rFonts w:ascii="Times New Roman" w:hAnsi="Times New Roman"/>
                <w:lang w:eastAsia="pl-PL"/>
              </w:rPr>
              <w:t>, a</w:t>
            </w:r>
            <w:r w:rsidR="004E5FDD">
              <w:rPr>
                <w:rFonts w:ascii="Times New Roman" w:hAnsi="Times New Roman"/>
                <w:lang w:eastAsia="pl-PL"/>
              </w:rPr>
              <w:t> </w:t>
            </w:r>
            <w:r w:rsidR="004A1123">
              <w:rPr>
                <w:rFonts w:ascii="Times New Roman" w:hAnsi="Times New Roman"/>
                <w:lang w:eastAsia="pl-PL"/>
              </w:rPr>
              <w:t xml:space="preserve">podmioty prowadzące </w:t>
            </w:r>
            <w:r w:rsidR="00162A00">
              <w:rPr>
                <w:rFonts w:ascii="Times New Roman" w:hAnsi="Times New Roman"/>
                <w:lang w:eastAsia="pl-PL"/>
              </w:rPr>
              <w:t>działalnoś</w:t>
            </w:r>
            <w:r w:rsidR="00A243AA">
              <w:rPr>
                <w:rFonts w:ascii="Times New Roman" w:hAnsi="Times New Roman"/>
                <w:lang w:eastAsia="pl-PL"/>
              </w:rPr>
              <w:t xml:space="preserve">ć lotniczą koszty szkolenia </w:t>
            </w:r>
            <w:r w:rsidR="00AF30E1">
              <w:rPr>
                <w:rFonts w:ascii="Times New Roman" w:hAnsi="Times New Roman"/>
                <w:lang w:eastAsia="pl-PL"/>
              </w:rPr>
              <w:t xml:space="preserve">w zakresie </w:t>
            </w:r>
            <w:r w:rsidR="00A243AA" w:rsidRPr="00615441">
              <w:rPr>
                <w:rFonts w:ascii="Times New Roman" w:hAnsi="Times New Roman"/>
                <w:lang w:eastAsia="pl-PL"/>
              </w:rPr>
              <w:t>zagroże</w:t>
            </w:r>
            <w:r w:rsidR="00AF30E1">
              <w:rPr>
                <w:rFonts w:ascii="Times New Roman" w:hAnsi="Times New Roman"/>
                <w:lang w:eastAsia="pl-PL"/>
              </w:rPr>
              <w:t>ń</w:t>
            </w:r>
            <w:r w:rsidR="00A243AA" w:rsidRPr="00615441">
              <w:rPr>
                <w:rFonts w:ascii="Times New Roman" w:hAnsi="Times New Roman"/>
                <w:lang w:eastAsia="pl-PL"/>
              </w:rPr>
              <w:t xml:space="preserve"> dla </w:t>
            </w:r>
            <w:proofErr w:type="spellStart"/>
            <w:r w:rsidR="00A243AA" w:rsidRPr="00615441">
              <w:rPr>
                <w:rFonts w:ascii="Times New Roman" w:hAnsi="Times New Roman"/>
                <w:lang w:eastAsia="pl-PL"/>
              </w:rPr>
              <w:t>cyberbezpieczeństwa</w:t>
            </w:r>
            <w:proofErr w:type="spellEnd"/>
            <w:r w:rsidR="00AF30E1">
              <w:rPr>
                <w:rFonts w:ascii="Times New Roman" w:hAnsi="Times New Roman"/>
                <w:lang w:eastAsia="pl-PL"/>
              </w:rPr>
              <w:t xml:space="preserve">. </w:t>
            </w:r>
            <w:r w:rsidR="00797E88">
              <w:rPr>
                <w:rFonts w:ascii="Times New Roman" w:hAnsi="Times New Roman"/>
                <w:lang w:eastAsia="pl-PL"/>
              </w:rPr>
              <w:t>projektodawca</w:t>
            </w:r>
            <w:r w:rsidR="001E4FAB">
              <w:rPr>
                <w:rFonts w:ascii="Times New Roman" w:hAnsi="Times New Roman"/>
                <w:lang w:eastAsia="pl-PL"/>
              </w:rPr>
              <w:t xml:space="preserve"> nie dysponuje danymi, które pozwoliłyby na szacunkowe określenie kosztów </w:t>
            </w:r>
            <w:r w:rsidR="00BF473B">
              <w:rPr>
                <w:rFonts w:ascii="Times New Roman" w:hAnsi="Times New Roman"/>
                <w:lang w:eastAsia="pl-PL"/>
              </w:rPr>
              <w:t>nowych szkoleń.</w:t>
            </w:r>
          </w:p>
          <w:p w14:paraId="5FE23629" w14:textId="0482AC56" w:rsidR="00723A4C" w:rsidRDefault="00DE2B24" w:rsidP="00DA0359">
            <w:pPr>
              <w:spacing w:before="120" w:after="120"/>
              <w:rPr>
                <w:rFonts w:ascii="Times New Roman" w:hAnsi="Times New Roman"/>
                <w:lang w:eastAsia="pl-PL"/>
              </w:rPr>
            </w:pPr>
            <w:r w:rsidRPr="0089560B">
              <w:rPr>
                <w:rFonts w:ascii="Times New Roman" w:hAnsi="Times New Roman"/>
              </w:rPr>
              <w:t>W przypadku skutków projektowanej regulacji dla sektora przedsiębiorstw w odniesieniu do osób podlegających</w:t>
            </w:r>
            <w:r w:rsidR="00723A4C">
              <w:rPr>
                <w:rFonts w:ascii="Times New Roman" w:hAnsi="Times New Roman"/>
              </w:rPr>
              <w:t xml:space="preserve"> </w:t>
            </w:r>
            <w:r w:rsidRPr="0089560B">
              <w:rPr>
                <w:rFonts w:ascii="Times New Roman" w:hAnsi="Times New Roman"/>
              </w:rPr>
              <w:t>obowiązkowym szkoleniom</w:t>
            </w:r>
            <w:r w:rsidR="009F132B" w:rsidRPr="0089560B">
              <w:rPr>
                <w:rFonts w:ascii="Times New Roman" w:hAnsi="Times New Roman"/>
              </w:rPr>
              <w:t xml:space="preserve"> </w:t>
            </w:r>
            <w:r w:rsidR="009F132B" w:rsidRPr="00723A4C">
              <w:rPr>
                <w:rFonts w:ascii="Times New Roman" w:hAnsi="Times New Roman"/>
              </w:rPr>
              <w:t>dla</w:t>
            </w:r>
            <w:r w:rsidRPr="00723A4C">
              <w:rPr>
                <w:rFonts w:ascii="Times New Roman" w:hAnsi="Times New Roman"/>
              </w:rPr>
              <w:t xml:space="preserve"> </w:t>
            </w:r>
            <w:r w:rsidR="00264BAA" w:rsidRPr="00723A4C">
              <w:rPr>
                <w:rFonts w:ascii="Times New Roman" w:eastAsia="Cambria" w:hAnsi="Times New Roman"/>
              </w:rPr>
              <w:t>członków załogi lotniczej i personelu pokładowego stosujących środki ochrony podczas lotu oraz</w:t>
            </w:r>
            <w:r w:rsidR="00B82EA0" w:rsidRPr="00723A4C">
              <w:rPr>
                <w:rFonts w:ascii="Times New Roman" w:eastAsia="Cambria" w:hAnsi="Times New Roman"/>
              </w:rPr>
              <w:t xml:space="preserve"> osób pełniących role lub wykonujących obowiązki związane z zagrożeniami dla </w:t>
            </w:r>
            <w:proofErr w:type="spellStart"/>
            <w:r w:rsidR="00B82EA0" w:rsidRPr="00723A4C">
              <w:rPr>
                <w:rFonts w:ascii="Times New Roman" w:eastAsia="Cambria" w:hAnsi="Times New Roman"/>
              </w:rPr>
              <w:t>cyberbezpieczeństwa</w:t>
            </w:r>
            <w:proofErr w:type="spellEnd"/>
            <w:r w:rsidRPr="00723A4C">
              <w:rPr>
                <w:rFonts w:ascii="Times New Roman" w:hAnsi="Times New Roman"/>
              </w:rPr>
              <w:t xml:space="preserve">, </w:t>
            </w:r>
            <w:r w:rsidR="00723A4C" w:rsidRPr="00723A4C">
              <w:rPr>
                <w:rFonts w:ascii="Times New Roman" w:hAnsi="Times New Roman"/>
              </w:rPr>
              <w:t>projektodawca</w:t>
            </w:r>
            <w:r w:rsidRPr="00723A4C">
              <w:rPr>
                <w:rFonts w:ascii="Times New Roman" w:hAnsi="Times New Roman"/>
              </w:rPr>
              <w:t xml:space="preserve"> nie dysponuje danymi</w:t>
            </w:r>
            <w:r w:rsidR="00723A4C" w:rsidRPr="00723A4C">
              <w:rPr>
                <w:rFonts w:ascii="Times New Roman" w:hAnsi="Times New Roman"/>
              </w:rPr>
              <w:t>,</w:t>
            </w:r>
            <w:r w:rsidRPr="00723A4C">
              <w:rPr>
                <w:rFonts w:ascii="Times New Roman" w:hAnsi="Times New Roman"/>
              </w:rPr>
              <w:t xml:space="preserve"> na podstawie których można</w:t>
            </w:r>
            <w:r w:rsidR="00723A4C" w:rsidRPr="00723A4C">
              <w:rPr>
                <w:rFonts w:ascii="Times New Roman" w:hAnsi="Times New Roman"/>
              </w:rPr>
              <w:t xml:space="preserve"> </w:t>
            </w:r>
            <w:r w:rsidRPr="00723A4C">
              <w:rPr>
                <w:rFonts w:ascii="Times New Roman" w:hAnsi="Times New Roman"/>
              </w:rPr>
              <w:t>by oszacować koszty</w:t>
            </w:r>
            <w:r w:rsidR="005A1FE5" w:rsidRPr="00723A4C">
              <w:rPr>
                <w:rFonts w:ascii="Times New Roman" w:hAnsi="Times New Roman"/>
              </w:rPr>
              <w:t>.</w:t>
            </w:r>
            <w:r w:rsidR="00F32BC0" w:rsidRPr="00723A4C">
              <w:rPr>
                <w:rFonts w:ascii="Times New Roman" w:hAnsi="Times New Roman"/>
              </w:rPr>
              <w:t xml:space="preserve"> </w:t>
            </w:r>
            <w:r w:rsidR="00AB4AE7" w:rsidRPr="00723A4C">
              <w:rPr>
                <w:rFonts w:ascii="Times New Roman" w:hAnsi="Times New Roman"/>
              </w:rPr>
              <w:t xml:space="preserve">Podmioty prowadzące </w:t>
            </w:r>
            <w:r w:rsidR="00AB4AE7" w:rsidRPr="0089560B">
              <w:rPr>
                <w:rFonts w:ascii="Times New Roman" w:hAnsi="Times New Roman"/>
              </w:rPr>
              <w:lastRenderedPageBreak/>
              <w:t>lotniczą działalność gospodarczą (porty lotnicze, zarejestrowani agenci)</w:t>
            </w:r>
            <w:r w:rsidR="00094562" w:rsidRPr="0089560B">
              <w:rPr>
                <w:rFonts w:ascii="Times New Roman" w:hAnsi="Times New Roman"/>
              </w:rPr>
              <w:t xml:space="preserve"> dla zatrudnianych osób</w:t>
            </w:r>
            <w:r w:rsidR="00AB4AE7" w:rsidRPr="0089560B">
              <w:rPr>
                <w:rFonts w:ascii="Times New Roman" w:hAnsi="Times New Roman"/>
              </w:rPr>
              <w:t xml:space="preserve"> podlegając</w:t>
            </w:r>
            <w:r w:rsidR="00094562" w:rsidRPr="0089560B">
              <w:rPr>
                <w:rFonts w:ascii="Times New Roman" w:hAnsi="Times New Roman"/>
              </w:rPr>
              <w:t>ych</w:t>
            </w:r>
            <w:r w:rsidR="00AB4AE7" w:rsidRPr="0089560B">
              <w:rPr>
                <w:rFonts w:ascii="Times New Roman" w:hAnsi="Times New Roman"/>
              </w:rPr>
              <w:t xml:space="preserve"> szkoleni</w:t>
            </w:r>
            <w:r w:rsidR="00094562" w:rsidRPr="0089560B">
              <w:rPr>
                <w:rFonts w:ascii="Times New Roman" w:hAnsi="Times New Roman"/>
              </w:rPr>
              <w:t>om w zakresie ochro</w:t>
            </w:r>
            <w:r w:rsidR="00884E19" w:rsidRPr="0089560B">
              <w:rPr>
                <w:rFonts w:ascii="Times New Roman" w:hAnsi="Times New Roman"/>
              </w:rPr>
              <w:t>ny lotnictwa cywilnego</w:t>
            </w:r>
            <w:r w:rsidR="00AB4AE7" w:rsidRPr="0089560B">
              <w:rPr>
                <w:rFonts w:ascii="Times New Roman" w:hAnsi="Times New Roman"/>
                <w:lang w:eastAsia="pl-PL"/>
              </w:rPr>
              <w:t>, realizują te szkolenia we własnym zakresie przez instruktorów, będących etatowymi pracownikami tych podmiotów, wpisanych na listę prowadzoną przez Prezesa Urzędu</w:t>
            </w:r>
            <w:r w:rsidR="00334792">
              <w:rPr>
                <w:rFonts w:ascii="Times New Roman" w:hAnsi="Times New Roman"/>
                <w:lang w:eastAsia="pl-PL"/>
              </w:rPr>
              <w:t>.</w:t>
            </w:r>
          </w:p>
          <w:p w14:paraId="64B59D46" w14:textId="6108D8B2" w:rsidR="0089560B" w:rsidRDefault="008A173B" w:rsidP="00DA0359">
            <w:pPr>
              <w:spacing w:before="120" w:after="1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9560B">
              <w:rPr>
                <w:rFonts w:ascii="Times New Roman" w:hAnsi="Times New Roman"/>
                <w:lang w:eastAsia="pl-PL"/>
              </w:rPr>
              <w:t xml:space="preserve">W przypadku podmiotów, które korzystają z oferty szkoleniowej podmiotów oferujących realizację szkoleń w zakresie ochrony lotnictwa cywilnego, </w:t>
            </w:r>
            <w:r w:rsidR="00723A4C">
              <w:rPr>
                <w:rFonts w:ascii="Times New Roman" w:hAnsi="Times New Roman"/>
                <w:lang w:eastAsia="pl-PL"/>
              </w:rPr>
              <w:t>projektodawca</w:t>
            </w:r>
            <w:r w:rsidRPr="0089560B">
              <w:rPr>
                <w:rFonts w:ascii="Times New Roman" w:hAnsi="Times New Roman"/>
                <w:lang w:eastAsia="pl-PL"/>
              </w:rPr>
              <w:t xml:space="preserve"> nie dysponuje danymi </w:t>
            </w:r>
            <w:r w:rsidR="003A1371" w:rsidRPr="0089560B">
              <w:rPr>
                <w:rFonts w:ascii="Times New Roman" w:hAnsi="Times New Roman"/>
                <w:lang w:eastAsia="pl-PL"/>
              </w:rPr>
              <w:t>dotyczący</w:t>
            </w:r>
            <w:r w:rsidR="003A1371">
              <w:rPr>
                <w:rFonts w:ascii="Times New Roman" w:hAnsi="Times New Roman"/>
                <w:lang w:eastAsia="pl-PL"/>
              </w:rPr>
              <w:t>mi</w:t>
            </w:r>
            <w:r w:rsidR="003A1371" w:rsidRPr="0089560B">
              <w:rPr>
                <w:rFonts w:ascii="Times New Roman" w:hAnsi="Times New Roman"/>
                <w:lang w:eastAsia="pl-PL"/>
              </w:rPr>
              <w:t xml:space="preserve"> </w:t>
            </w:r>
            <w:r w:rsidRPr="0089560B">
              <w:rPr>
                <w:rFonts w:ascii="Times New Roman" w:hAnsi="Times New Roman"/>
                <w:lang w:eastAsia="pl-PL"/>
              </w:rPr>
              <w:t>kosztów</w:t>
            </w:r>
            <w:r w:rsidR="00723A4C">
              <w:rPr>
                <w:rFonts w:ascii="Times New Roman" w:hAnsi="Times New Roman"/>
                <w:lang w:eastAsia="pl-PL"/>
              </w:rPr>
              <w:t>,</w:t>
            </w:r>
            <w:r w:rsidRPr="0089560B">
              <w:rPr>
                <w:rFonts w:ascii="Times New Roman" w:hAnsi="Times New Roman"/>
                <w:lang w:eastAsia="pl-PL"/>
              </w:rPr>
              <w:t xml:space="preserve"> jakie będą ponosić te podmioty. Podmioty oferujące realizację szkoleń, ze względu na konkurencję</w:t>
            </w:r>
            <w:r w:rsidR="00EF165C" w:rsidRPr="0089560B">
              <w:rPr>
                <w:rFonts w:ascii="Times New Roman" w:hAnsi="Times New Roman"/>
                <w:lang w:eastAsia="pl-PL"/>
              </w:rPr>
              <w:t>,</w:t>
            </w:r>
            <w:r w:rsidRPr="0089560B">
              <w:rPr>
                <w:rFonts w:ascii="Times New Roman" w:hAnsi="Times New Roman"/>
                <w:lang w:eastAsia="pl-PL"/>
              </w:rPr>
              <w:t xml:space="preserve"> co do zasady</w:t>
            </w:r>
            <w:r w:rsidR="00EF165C" w:rsidRPr="0089560B">
              <w:rPr>
                <w:rFonts w:ascii="Times New Roman" w:hAnsi="Times New Roman"/>
                <w:lang w:eastAsia="pl-PL"/>
              </w:rPr>
              <w:t>,</w:t>
            </w:r>
            <w:r w:rsidRPr="0089560B">
              <w:rPr>
                <w:rFonts w:ascii="Times New Roman" w:hAnsi="Times New Roman"/>
                <w:lang w:eastAsia="pl-PL"/>
              </w:rPr>
              <w:t xml:space="preserve"> nie udostępniają publicznie cenników szkoleń. W przypadku podmiotów które takie cenniki udostępniają, nie jest możliwe określenie kosztów</w:t>
            </w:r>
            <w:r w:rsidR="00723A4C">
              <w:rPr>
                <w:rFonts w:ascii="Times New Roman" w:hAnsi="Times New Roman"/>
                <w:lang w:eastAsia="pl-PL"/>
              </w:rPr>
              <w:t>,</w:t>
            </w:r>
            <w:r w:rsidRPr="0089560B">
              <w:rPr>
                <w:rFonts w:ascii="Times New Roman" w:hAnsi="Times New Roman"/>
                <w:lang w:eastAsia="pl-PL"/>
              </w:rPr>
              <w:t xml:space="preserve"> jakie poniesie podmiot korzystający z oferty szkoleniowej dla swoich pracowników, ponieważ zainteresowani negocjują koszty realizowanych szkoleń i są one zawsze niższe niż wynikałoby to z oficjalnego cennika</w:t>
            </w:r>
            <w:r w:rsidR="0089560B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14:paraId="54B7B552" w14:textId="059B1B25" w:rsidR="004C71F7" w:rsidRPr="00C46BBD" w:rsidRDefault="00DA0359" w:rsidP="00DA0359">
            <w:pPr>
              <w:spacing w:before="120" w:after="1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lang w:eastAsia="pl-PL"/>
              </w:rPr>
              <w:t xml:space="preserve">Brak wpływu na </w:t>
            </w:r>
            <w:r w:rsidRPr="00DA0359">
              <w:rPr>
                <w:rFonts w:ascii="Times New Roman" w:hAnsi="Times New Roman"/>
                <w:lang w:eastAsia="pl-PL"/>
              </w:rPr>
              <w:t>sytuację ekonomiczną i społeczną rodziny, a także osób niepełn</w:t>
            </w:r>
            <w:r>
              <w:rPr>
                <w:rFonts w:ascii="Times New Roman" w:hAnsi="Times New Roman"/>
                <w:lang w:eastAsia="pl-PL"/>
              </w:rPr>
              <w:t>osprawnych oraz osób starszych.</w:t>
            </w:r>
          </w:p>
        </w:tc>
      </w:tr>
      <w:tr w:rsidR="00E74C16" w:rsidRPr="00C46BBD" w14:paraId="1E89C011" w14:textId="77777777" w:rsidTr="00E74C16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E5C85E6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lastRenderedPageBreak/>
              <w:t xml:space="preserve"> Zmiana obciążeń regulacyjnych (w tym obowiązków informacyjnych) wynikających z projektu</w:t>
            </w:r>
          </w:p>
        </w:tc>
      </w:tr>
      <w:tr w:rsidR="00E74C16" w:rsidRPr="00C46BBD" w14:paraId="25075FDF" w14:textId="77777777" w:rsidTr="00E74C16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259A1B2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  <w:p w14:paraId="24106BE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236F95E3" w14:textId="77777777" w:rsidTr="00E74C16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26F5AC4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C46BBD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9DEF776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9C83146" w14:textId="48572C3B" w:rsidR="00E74C16" w:rsidRPr="00C46BBD" w:rsidRDefault="00EE09C7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5017283D" w14:textId="6FAD865E" w:rsidR="00E74C16" w:rsidRPr="00C46BBD" w:rsidRDefault="00EE09C7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E74C16" w:rsidRPr="00C46BBD" w14:paraId="4818F623" w14:textId="77777777" w:rsidTr="00ED0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70"/>
        </w:trPr>
        <w:tc>
          <w:tcPr>
            <w:tcW w:w="5111" w:type="dxa"/>
            <w:gridSpan w:val="12"/>
            <w:tcBorders>
              <w:left w:val="single" w:sz="4" w:space="0" w:color="auto"/>
            </w:tcBorders>
          </w:tcPr>
          <w:p w14:paraId="0AD5E44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4AA273B2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553D4496" w14:textId="77777777" w:rsidR="00E74C16" w:rsidRPr="00C46BBD" w:rsidRDefault="00CB3338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2A7D0EED" w14:textId="77777777" w:rsidR="00E74C16" w:rsidRPr="00C46BBD" w:rsidRDefault="00E74C16" w:rsidP="00E74C16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46BBD">
              <w:rPr>
                <w:rFonts w:ascii="Times New Roman" w:hAnsi="Times New Roman"/>
                <w:color w:val="000000"/>
              </w:rPr>
            </w:r>
            <w:r w:rsidRPr="00C46BBD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tcBorders>
              <w:right w:val="single" w:sz="4" w:space="0" w:color="auto"/>
            </w:tcBorders>
          </w:tcPr>
          <w:p w14:paraId="1AB26B2C" w14:textId="6F476BEA" w:rsidR="00E74C16" w:rsidRPr="00C46BBD" w:rsidRDefault="00B4572D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A1D99"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9C63EFD" w14:textId="77777777" w:rsidR="00E74C16" w:rsidRPr="00C46BBD" w:rsidRDefault="00D8635C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74C16" w:rsidRPr="00C46BBD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556B5F1A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132C5791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46BBD">
              <w:rPr>
                <w:rFonts w:ascii="Times New Roman" w:hAnsi="Times New Roman"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46BBD">
              <w:rPr>
                <w:rFonts w:ascii="Times New Roman" w:hAnsi="Times New Roman"/>
                <w:color w:val="000000"/>
              </w:rPr>
            </w:r>
            <w:r w:rsidRPr="00C46BBD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/>
                <w:noProof/>
                <w:color w:val="000000"/>
              </w:rPr>
              <w:t> </w:t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728177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26534431" w14:textId="77777777" w:rsidTr="00E74C16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00A7889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630B817" w14:textId="2203DAB5" w:rsidR="00E74C16" w:rsidRPr="00C46BBD" w:rsidRDefault="002E081C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0613280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7F308B5" w14:textId="08EA1E69" w:rsidR="00E74C16" w:rsidRPr="00C46BBD" w:rsidRDefault="002E081C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E74C16" w:rsidRPr="00C46BBD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31A1C6C5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C16" w:rsidRPr="00C46BBD" w14:paraId="3A253AFB" w14:textId="77777777" w:rsidTr="00E74C16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636BD05C" w14:textId="61EA700E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Komentarz:</w:t>
            </w:r>
            <w:r w:rsidR="00DF66FE">
              <w:rPr>
                <w:rFonts w:ascii="Times New Roman" w:hAnsi="Times New Roman"/>
                <w:color w:val="000000"/>
              </w:rPr>
              <w:t>–</w:t>
            </w:r>
          </w:p>
        </w:tc>
      </w:tr>
      <w:tr w:rsidR="00E74C16" w:rsidRPr="00C46BBD" w14:paraId="6033DE37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15475B1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E74C16" w:rsidRPr="00C46BBD" w14:paraId="0CE9C468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40E0D8CB" w14:textId="275582C6" w:rsidR="00E74C16" w:rsidRPr="00C46BBD" w:rsidRDefault="00D8635C" w:rsidP="008B476D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Brak wpływu </w:t>
            </w:r>
            <w:r w:rsidR="003A1371">
              <w:rPr>
                <w:rFonts w:ascii="Times New Roman" w:hAnsi="Times New Roman"/>
                <w:color w:val="000000"/>
              </w:rPr>
              <w:t>na rynek pracy.</w:t>
            </w:r>
          </w:p>
        </w:tc>
      </w:tr>
      <w:tr w:rsidR="00E74C16" w:rsidRPr="00C46BBD" w14:paraId="1E43C9B3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F208964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E74C16" w:rsidRPr="00C46BBD" w14:paraId="5D868CDC" w14:textId="77777777" w:rsidTr="00E74C16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299DA1F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1F5BFEBD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2748695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1FFEB9F4" w14:textId="2A6EF9F3" w:rsidR="00E74C16" w:rsidRPr="00C46BBD" w:rsidRDefault="00723A4C" w:rsidP="008B476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0A307CB7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012D3F5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0E1426B9" w14:textId="77777777" w:rsidR="00723A4C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</w:rPr>
              <w:t>mienie państwowe</w:t>
            </w:r>
          </w:p>
          <w:p w14:paraId="3FE4A62E" w14:textId="60B154EE" w:rsidR="00E74C16" w:rsidRPr="00C46BBD" w:rsidRDefault="00723A4C" w:rsidP="00E74C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inne: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41C812EC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</w:p>
          <w:p w14:paraId="338AAF5E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6A767580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BB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23A27">
              <w:rPr>
                <w:rFonts w:ascii="Times New Roman" w:hAnsi="Times New Roman"/>
                <w:color w:val="000000"/>
              </w:rPr>
            </w:r>
            <w:r w:rsidR="00023A27">
              <w:rPr>
                <w:rFonts w:ascii="Times New Roman" w:hAnsi="Times New Roman"/>
                <w:color w:val="000000"/>
              </w:rPr>
              <w:fldChar w:fldCharType="separate"/>
            </w:r>
            <w:r w:rsidRPr="00C46BBD">
              <w:rPr>
                <w:rFonts w:ascii="Times New Roman" w:hAnsi="Times New Roman"/>
                <w:color w:val="000000"/>
              </w:rPr>
              <w:fldChar w:fldCharType="end"/>
            </w:r>
            <w:r w:rsidRPr="00C46B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E74C16" w:rsidRPr="00C46BBD" w14:paraId="7AAD5E26" w14:textId="77777777" w:rsidTr="00E74C16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0DD6BA34" w14:textId="77777777" w:rsidR="00E74C16" w:rsidRPr="00C46BBD" w:rsidRDefault="00E74C16" w:rsidP="00E74C16">
            <w:pPr>
              <w:rPr>
                <w:rFonts w:ascii="Times New Roman" w:hAnsi="Times New Roman"/>
                <w:color w:val="000000"/>
              </w:rPr>
            </w:pPr>
            <w:r w:rsidRPr="00C46BBD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253FA12" w14:textId="7F669408" w:rsidR="00E74C16" w:rsidRPr="00C46BBD" w:rsidRDefault="00E74C16" w:rsidP="003A1371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 xml:space="preserve">Brak wpływu na </w:t>
            </w:r>
            <w:r w:rsidR="003A1371">
              <w:rPr>
                <w:rFonts w:ascii="Times New Roman" w:hAnsi="Times New Roman"/>
                <w:color w:val="000000"/>
                <w:spacing w:val="-2"/>
              </w:rPr>
              <w:t>pozostałe</w:t>
            </w:r>
            <w:r w:rsidR="003A1371" w:rsidRPr="00C46BB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C46BBD">
              <w:rPr>
                <w:rFonts w:ascii="Times New Roman" w:hAnsi="Times New Roman"/>
                <w:color w:val="000000"/>
                <w:spacing w:val="-2"/>
              </w:rPr>
              <w:t>obszary.</w:t>
            </w:r>
          </w:p>
        </w:tc>
      </w:tr>
      <w:tr w:rsidR="00E74C16" w:rsidRPr="00C46BBD" w14:paraId="2B2D0670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801E14C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E74C16" w:rsidRPr="00C46BBD" w14:paraId="3233185D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7DB46AB" w14:textId="44BCC51E" w:rsidR="00E74C16" w:rsidRPr="00DF66FE" w:rsidRDefault="0063596D" w:rsidP="00E82B8D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DF66FE">
              <w:rPr>
                <w:rFonts w:ascii="Times New Roman" w:hAnsi="Times New Roman"/>
                <w:spacing w:val="-2"/>
              </w:rPr>
              <w:t xml:space="preserve">Wykonanie przepisów rozporządzenia nastąpi </w:t>
            </w:r>
            <w:r w:rsidR="00E82B8D" w:rsidRPr="00DF66FE">
              <w:rPr>
                <w:rFonts w:ascii="Times New Roman" w:hAnsi="Times New Roman"/>
                <w:spacing w:val="-2"/>
              </w:rPr>
              <w:t>od dnia jego</w:t>
            </w:r>
            <w:r w:rsidRPr="00DF66FE">
              <w:rPr>
                <w:rFonts w:ascii="Times New Roman" w:hAnsi="Times New Roman"/>
                <w:spacing w:val="-2"/>
              </w:rPr>
              <w:t xml:space="preserve"> wejści</w:t>
            </w:r>
            <w:r w:rsidR="00E82B8D" w:rsidRPr="00DF66FE">
              <w:rPr>
                <w:rFonts w:ascii="Times New Roman" w:hAnsi="Times New Roman"/>
                <w:spacing w:val="-2"/>
              </w:rPr>
              <w:t>a</w:t>
            </w:r>
            <w:r w:rsidRPr="00DF66FE">
              <w:rPr>
                <w:rFonts w:ascii="Times New Roman" w:hAnsi="Times New Roman"/>
                <w:spacing w:val="-2"/>
              </w:rPr>
              <w:t xml:space="preserve"> w życie.</w:t>
            </w:r>
          </w:p>
        </w:tc>
      </w:tr>
      <w:tr w:rsidR="00E74C16" w:rsidRPr="00C46BBD" w14:paraId="79496042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D3A8691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</w:rPr>
            </w:pPr>
            <w:r w:rsidRPr="00C46BB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E74C16" w:rsidRPr="00C46BBD" w14:paraId="10B9E88D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E23712E" w14:textId="2840440B" w:rsidR="00E74C16" w:rsidRPr="00C46BBD" w:rsidRDefault="00E82B8D" w:rsidP="008B476D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konieczności ewaluacji efektów projektu.</w:t>
            </w:r>
          </w:p>
        </w:tc>
      </w:tr>
      <w:tr w:rsidR="00E74C16" w:rsidRPr="00C46BBD" w14:paraId="76A18B44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71B1FD8" w14:textId="77777777" w:rsidR="00E74C16" w:rsidRPr="00C46BBD" w:rsidRDefault="00E74C16" w:rsidP="00E74C16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 xml:space="preserve">Załączniki 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(istotne dokumenty źródłowe, badania, analizy itp.</w:t>
            </w:r>
            <w:r w:rsidRPr="00C46BBD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E74C16" w:rsidRPr="00C46BBD" w14:paraId="6448F733" w14:textId="77777777" w:rsidTr="00E74C16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E2ECBAF" w14:textId="31E2F8C8" w:rsidR="00E74C16" w:rsidRPr="00C46BBD" w:rsidRDefault="00E74C16" w:rsidP="008B476D">
            <w:pPr>
              <w:spacing w:before="120" w:after="120"/>
              <w:rPr>
                <w:rFonts w:ascii="Times New Roman" w:hAnsi="Times New Roman"/>
                <w:color w:val="000000"/>
                <w:spacing w:val="-2"/>
              </w:rPr>
            </w:pPr>
            <w:r w:rsidRPr="00C46BBD">
              <w:rPr>
                <w:rFonts w:ascii="Times New Roman" w:hAnsi="Times New Roman"/>
                <w:color w:val="000000"/>
                <w:spacing w:val="-2"/>
              </w:rPr>
              <w:t>Brak załączników.</w:t>
            </w:r>
          </w:p>
        </w:tc>
      </w:tr>
    </w:tbl>
    <w:p w14:paraId="6682DC28" w14:textId="09BC8E31" w:rsidR="00E74C16" w:rsidRPr="00C46BBD" w:rsidRDefault="00E74C16">
      <w:pPr>
        <w:rPr>
          <w:rFonts w:ascii="Times New Roman" w:hAnsi="Times New Roman"/>
          <w:color w:val="000000"/>
        </w:rPr>
      </w:pPr>
    </w:p>
    <w:sectPr w:rsidR="00E74C16" w:rsidRPr="00C46BBD" w:rsidSect="00E74C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76A41" w14:textId="77777777" w:rsidR="00023A27" w:rsidRDefault="00023A27" w:rsidP="00340FFB">
      <w:r>
        <w:separator/>
      </w:r>
    </w:p>
  </w:endnote>
  <w:endnote w:type="continuationSeparator" w:id="0">
    <w:p w14:paraId="0F29A65D" w14:textId="77777777" w:rsidR="00023A27" w:rsidRDefault="00023A27" w:rsidP="0034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26B8E" w14:textId="76675A26" w:rsidR="008773D6" w:rsidRDefault="008773D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66FE">
      <w:rPr>
        <w:noProof/>
      </w:rPr>
      <w:t>1</w:t>
    </w:r>
    <w:r>
      <w:fldChar w:fldCharType="end"/>
    </w:r>
  </w:p>
  <w:p w14:paraId="04850560" w14:textId="77777777" w:rsidR="008773D6" w:rsidRDefault="00877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CBD2F" w14:textId="77777777" w:rsidR="00023A27" w:rsidRDefault="00023A27" w:rsidP="00340FFB">
      <w:r>
        <w:separator/>
      </w:r>
    </w:p>
  </w:footnote>
  <w:footnote w:type="continuationSeparator" w:id="0">
    <w:p w14:paraId="30164A4B" w14:textId="77777777" w:rsidR="00023A27" w:rsidRDefault="00023A27" w:rsidP="0034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31068"/>
    <w:multiLevelType w:val="hybridMultilevel"/>
    <w:tmpl w:val="6C1CE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67063"/>
    <w:multiLevelType w:val="hybridMultilevel"/>
    <w:tmpl w:val="BA3031CC"/>
    <w:lvl w:ilvl="0" w:tplc="D458D5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6D0313"/>
    <w:multiLevelType w:val="hybridMultilevel"/>
    <w:tmpl w:val="5BA2BB5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4505AFB"/>
    <w:multiLevelType w:val="hybridMultilevel"/>
    <w:tmpl w:val="4B7C67F8"/>
    <w:lvl w:ilvl="0" w:tplc="72802CEE">
      <w:start w:val="1"/>
      <w:numFmt w:val="decimal"/>
      <w:lvlText w:val="%1)"/>
      <w:lvlJc w:val="left"/>
      <w:pPr>
        <w:ind w:left="-379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-29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2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-14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-77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-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6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38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2108" w:hanging="180"/>
      </w:pPr>
      <w:rPr>
        <w:rFonts w:cs="Times New Roman"/>
      </w:rPr>
    </w:lvl>
  </w:abstractNum>
  <w:abstractNum w:abstractNumId="5" w15:restartNumberingAfterBreak="0">
    <w:nsid w:val="5C335AC2"/>
    <w:multiLevelType w:val="hybridMultilevel"/>
    <w:tmpl w:val="5CC20B78"/>
    <w:lvl w:ilvl="0" w:tplc="4118C020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34EE3"/>
    <w:multiLevelType w:val="hybridMultilevel"/>
    <w:tmpl w:val="6FEAFD9E"/>
    <w:lvl w:ilvl="0" w:tplc="CD862F0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F50C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676CCCC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5634A8"/>
    <w:multiLevelType w:val="hybridMultilevel"/>
    <w:tmpl w:val="BA8873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0C7F55"/>
    <w:multiLevelType w:val="hybridMultilevel"/>
    <w:tmpl w:val="51B29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D4109"/>
    <w:multiLevelType w:val="hybridMultilevel"/>
    <w:tmpl w:val="818A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16"/>
    <w:rsid w:val="00001CA3"/>
    <w:rsid w:val="00004277"/>
    <w:rsid w:val="00016BBA"/>
    <w:rsid w:val="00023A27"/>
    <w:rsid w:val="000258DA"/>
    <w:rsid w:val="000479D9"/>
    <w:rsid w:val="00062461"/>
    <w:rsid w:val="0006469C"/>
    <w:rsid w:val="00070AFE"/>
    <w:rsid w:val="00071833"/>
    <w:rsid w:val="00075B82"/>
    <w:rsid w:val="0008262B"/>
    <w:rsid w:val="00094562"/>
    <w:rsid w:val="00094EC3"/>
    <w:rsid w:val="00095135"/>
    <w:rsid w:val="000957BA"/>
    <w:rsid w:val="000A0EAA"/>
    <w:rsid w:val="000B303B"/>
    <w:rsid w:val="000D49EA"/>
    <w:rsid w:val="000E711A"/>
    <w:rsid w:val="000F02A1"/>
    <w:rsid w:val="00120A26"/>
    <w:rsid w:val="001214BA"/>
    <w:rsid w:val="001214EC"/>
    <w:rsid w:val="00121D53"/>
    <w:rsid w:val="001257A2"/>
    <w:rsid w:val="001264F1"/>
    <w:rsid w:val="00126AFB"/>
    <w:rsid w:val="001278DF"/>
    <w:rsid w:val="00131767"/>
    <w:rsid w:val="00131949"/>
    <w:rsid w:val="0013744E"/>
    <w:rsid w:val="0013762E"/>
    <w:rsid w:val="0014470E"/>
    <w:rsid w:val="00146358"/>
    <w:rsid w:val="00151D47"/>
    <w:rsid w:val="00154843"/>
    <w:rsid w:val="0015751D"/>
    <w:rsid w:val="00157571"/>
    <w:rsid w:val="00162A00"/>
    <w:rsid w:val="00163601"/>
    <w:rsid w:val="001711A5"/>
    <w:rsid w:val="0017406F"/>
    <w:rsid w:val="00174E6E"/>
    <w:rsid w:val="00176767"/>
    <w:rsid w:val="00183121"/>
    <w:rsid w:val="001905FF"/>
    <w:rsid w:val="00194D1F"/>
    <w:rsid w:val="001A0496"/>
    <w:rsid w:val="001A3637"/>
    <w:rsid w:val="001B6403"/>
    <w:rsid w:val="001C06B4"/>
    <w:rsid w:val="001E4FAB"/>
    <w:rsid w:val="001F6866"/>
    <w:rsid w:val="002050DF"/>
    <w:rsid w:val="002124B6"/>
    <w:rsid w:val="00213BA4"/>
    <w:rsid w:val="00214209"/>
    <w:rsid w:val="00226458"/>
    <w:rsid w:val="002352B6"/>
    <w:rsid w:val="00236D79"/>
    <w:rsid w:val="00244E80"/>
    <w:rsid w:val="002538CF"/>
    <w:rsid w:val="00264BAA"/>
    <w:rsid w:val="002701E3"/>
    <w:rsid w:val="00270D3B"/>
    <w:rsid w:val="002731F4"/>
    <w:rsid w:val="00274997"/>
    <w:rsid w:val="00286DE4"/>
    <w:rsid w:val="002914E0"/>
    <w:rsid w:val="0029327C"/>
    <w:rsid w:val="00296F55"/>
    <w:rsid w:val="002B7CE5"/>
    <w:rsid w:val="002C3728"/>
    <w:rsid w:val="002C53CA"/>
    <w:rsid w:val="002D3C53"/>
    <w:rsid w:val="002D40FA"/>
    <w:rsid w:val="002D78DC"/>
    <w:rsid w:val="002E081C"/>
    <w:rsid w:val="002F0D16"/>
    <w:rsid w:val="002F4F0E"/>
    <w:rsid w:val="002F5C28"/>
    <w:rsid w:val="00303957"/>
    <w:rsid w:val="00321DCB"/>
    <w:rsid w:val="00327863"/>
    <w:rsid w:val="00332B70"/>
    <w:rsid w:val="00334792"/>
    <w:rsid w:val="00340FFB"/>
    <w:rsid w:val="0034476E"/>
    <w:rsid w:val="003459E0"/>
    <w:rsid w:val="00351DFF"/>
    <w:rsid w:val="003627A5"/>
    <w:rsid w:val="003637C6"/>
    <w:rsid w:val="0037151C"/>
    <w:rsid w:val="00381335"/>
    <w:rsid w:val="00384DA0"/>
    <w:rsid w:val="003910A7"/>
    <w:rsid w:val="00393D3E"/>
    <w:rsid w:val="003A1371"/>
    <w:rsid w:val="003A3696"/>
    <w:rsid w:val="003A77EE"/>
    <w:rsid w:val="003C057E"/>
    <w:rsid w:val="003C0808"/>
    <w:rsid w:val="003C0D2E"/>
    <w:rsid w:val="003C2B77"/>
    <w:rsid w:val="003C5A75"/>
    <w:rsid w:val="003D2BDC"/>
    <w:rsid w:val="003D4913"/>
    <w:rsid w:val="003F6FF3"/>
    <w:rsid w:val="00402928"/>
    <w:rsid w:val="00405D27"/>
    <w:rsid w:val="004101B2"/>
    <w:rsid w:val="004111C1"/>
    <w:rsid w:val="00413968"/>
    <w:rsid w:val="004328CD"/>
    <w:rsid w:val="00437061"/>
    <w:rsid w:val="0044696B"/>
    <w:rsid w:val="0045022F"/>
    <w:rsid w:val="00464D54"/>
    <w:rsid w:val="00477F03"/>
    <w:rsid w:val="004817C7"/>
    <w:rsid w:val="00481A36"/>
    <w:rsid w:val="00485C4A"/>
    <w:rsid w:val="004A1123"/>
    <w:rsid w:val="004A2402"/>
    <w:rsid w:val="004A41D9"/>
    <w:rsid w:val="004A6E0E"/>
    <w:rsid w:val="004B34FD"/>
    <w:rsid w:val="004B63F8"/>
    <w:rsid w:val="004C71F7"/>
    <w:rsid w:val="004D528F"/>
    <w:rsid w:val="004E5FDD"/>
    <w:rsid w:val="004F1D98"/>
    <w:rsid w:val="00502899"/>
    <w:rsid w:val="00503EA7"/>
    <w:rsid w:val="005055CA"/>
    <w:rsid w:val="0051195A"/>
    <w:rsid w:val="00513544"/>
    <w:rsid w:val="00531F02"/>
    <w:rsid w:val="005322F9"/>
    <w:rsid w:val="00543D7A"/>
    <w:rsid w:val="00560DEB"/>
    <w:rsid w:val="00561D5B"/>
    <w:rsid w:val="0056437B"/>
    <w:rsid w:val="005652C1"/>
    <w:rsid w:val="00565FD2"/>
    <w:rsid w:val="005800E2"/>
    <w:rsid w:val="00593D99"/>
    <w:rsid w:val="005A1FE5"/>
    <w:rsid w:val="005A42AB"/>
    <w:rsid w:val="005B3DBC"/>
    <w:rsid w:val="005B5F7D"/>
    <w:rsid w:val="005B6497"/>
    <w:rsid w:val="005C4565"/>
    <w:rsid w:val="005C47DF"/>
    <w:rsid w:val="005D1D6B"/>
    <w:rsid w:val="005D3B31"/>
    <w:rsid w:val="005D6324"/>
    <w:rsid w:val="005E1899"/>
    <w:rsid w:val="005F2207"/>
    <w:rsid w:val="005F7CB5"/>
    <w:rsid w:val="00600598"/>
    <w:rsid w:val="006068DB"/>
    <w:rsid w:val="00606AFE"/>
    <w:rsid w:val="00612365"/>
    <w:rsid w:val="00613B88"/>
    <w:rsid w:val="00615441"/>
    <w:rsid w:val="006258A7"/>
    <w:rsid w:val="00632C94"/>
    <w:rsid w:val="0063596D"/>
    <w:rsid w:val="00641C76"/>
    <w:rsid w:val="006430F3"/>
    <w:rsid w:val="00651E1B"/>
    <w:rsid w:val="00655E13"/>
    <w:rsid w:val="00662425"/>
    <w:rsid w:val="00665231"/>
    <w:rsid w:val="00675C7A"/>
    <w:rsid w:val="006803DB"/>
    <w:rsid w:val="00681018"/>
    <w:rsid w:val="006823FF"/>
    <w:rsid w:val="0068491A"/>
    <w:rsid w:val="00691D38"/>
    <w:rsid w:val="00696448"/>
    <w:rsid w:val="006976D1"/>
    <w:rsid w:val="006A46EA"/>
    <w:rsid w:val="006C160C"/>
    <w:rsid w:val="006C3AA2"/>
    <w:rsid w:val="006C49E8"/>
    <w:rsid w:val="006D2535"/>
    <w:rsid w:val="006D3BB5"/>
    <w:rsid w:val="006D5FA0"/>
    <w:rsid w:val="006E47C1"/>
    <w:rsid w:val="006E6ED1"/>
    <w:rsid w:val="006F050E"/>
    <w:rsid w:val="006F2F9D"/>
    <w:rsid w:val="006F3254"/>
    <w:rsid w:val="006F3AE0"/>
    <w:rsid w:val="006F53DE"/>
    <w:rsid w:val="00705D7A"/>
    <w:rsid w:val="007060BB"/>
    <w:rsid w:val="00712621"/>
    <w:rsid w:val="00712EB6"/>
    <w:rsid w:val="00714183"/>
    <w:rsid w:val="00716CB1"/>
    <w:rsid w:val="007225FC"/>
    <w:rsid w:val="00723A4C"/>
    <w:rsid w:val="007275BD"/>
    <w:rsid w:val="007277BA"/>
    <w:rsid w:val="007317E7"/>
    <w:rsid w:val="00736BFF"/>
    <w:rsid w:val="00741984"/>
    <w:rsid w:val="00752256"/>
    <w:rsid w:val="00756225"/>
    <w:rsid w:val="00756CF4"/>
    <w:rsid w:val="0076565F"/>
    <w:rsid w:val="00770276"/>
    <w:rsid w:val="0077717D"/>
    <w:rsid w:val="00781DB0"/>
    <w:rsid w:val="00792A9E"/>
    <w:rsid w:val="007944E0"/>
    <w:rsid w:val="00796381"/>
    <w:rsid w:val="00797E88"/>
    <w:rsid w:val="007A6C93"/>
    <w:rsid w:val="007A74A5"/>
    <w:rsid w:val="007B04AF"/>
    <w:rsid w:val="007B12A7"/>
    <w:rsid w:val="007B6349"/>
    <w:rsid w:val="007B6BAF"/>
    <w:rsid w:val="007B7387"/>
    <w:rsid w:val="007C3CE0"/>
    <w:rsid w:val="007C4F0A"/>
    <w:rsid w:val="007D1EFC"/>
    <w:rsid w:val="007E0EB6"/>
    <w:rsid w:val="007E2CB0"/>
    <w:rsid w:val="007E3751"/>
    <w:rsid w:val="007F095A"/>
    <w:rsid w:val="007F342D"/>
    <w:rsid w:val="007F61E4"/>
    <w:rsid w:val="00806EDB"/>
    <w:rsid w:val="00806F8E"/>
    <w:rsid w:val="00811F29"/>
    <w:rsid w:val="0083252A"/>
    <w:rsid w:val="00843592"/>
    <w:rsid w:val="00843CEF"/>
    <w:rsid w:val="00851936"/>
    <w:rsid w:val="00851AFF"/>
    <w:rsid w:val="00853AB7"/>
    <w:rsid w:val="00854237"/>
    <w:rsid w:val="00855719"/>
    <w:rsid w:val="008605D4"/>
    <w:rsid w:val="0086090C"/>
    <w:rsid w:val="00862E5A"/>
    <w:rsid w:val="00865634"/>
    <w:rsid w:val="00865A0F"/>
    <w:rsid w:val="00867844"/>
    <w:rsid w:val="008737FA"/>
    <w:rsid w:val="00873A9A"/>
    <w:rsid w:val="008773D6"/>
    <w:rsid w:val="008814A2"/>
    <w:rsid w:val="00884E19"/>
    <w:rsid w:val="0089560B"/>
    <w:rsid w:val="008A0521"/>
    <w:rsid w:val="008A173B"/>
    <w:rsid w:val="008A174A"/>
    <w:rsid w:val="008A604F"/>
    <w:rsid w:val="008B476D"/>
    <w:rsid w:val="008B5039"/>
    <w:rsid w:val="008B6723"/>
    <w:rsid w:val="008C0D20"/>
    <w:rsid w:val="008D275A"/>
    <w:rsid w:val="008E14E0"/>
    <w:rsid w:val="008E24FF"/>
    <w:rsid w:val="008E2E81"/>
    <w:rsid w:val="009015D0"/>
    <w:rsid w:val="009053CD"/>
    <w:rsid w:val="0090642D"/>
    <w:rsid w:val="009129ED"/>
    <w:rsid w:val="0091597E"/>
    <w:rsid w:val="009170CA"/>
    <w:rsid w:val="00930A22"/>
    <w:rsid w:val="00930EB4"/>
    <w:rsid w:val="00932D94"/>
    <w:rsid w:val="00935A26"/>
    <w:rsid w:val="0094507F"/>
    <w:rsid w:val="00946218"/>
    <w:rsid w:val="0095069F"/>
    <w:rsid w:val="00950F02"/>
    <w:rsid w:val="009512C3"/>
    <w:rsid w:val="00952C13"/>
    <w:rsid w:val="00960B4B"/>
    <w:rsid w:val="009647C6"/>
    <w:rsid w:val="00967743"/>
    <w:rsid w:val="00970492"/>
    <w:rsid w:val="00975215"/>
    <w:rsid w:val="00983F2E"/>
    <w:rsid w:val="00991073"/>
    <w:rsid w:val="009936E3"/>
    <w:rsid w:val="009A208B"/>
    <w:rsid w:val="009A5AF3"/>
    <w:rsid w:val="009B3126"/>
    <w:rsid w:val="009D36D9"/>
    <w:rsid w:val="009D40BB"/>
    <w:rsid w:val="009F132B"/>
    <w:rsid w:val="009F23B9"/>
    <w:rsid w:val="00A06448"/>
    <w:rsid w:val="00A10754"/>
    <w:rsid w:val="00A13EC6"/>
    <w:rsid w:val="00A2418C"/>
    <w:rsid w:val="00A243AA"/>
    <w:rsid w:val="00A26B3B"/>
    <w:rsid w:val="00A26EFA"/>
    <w:rsid w:val="00A41B9A"/>
    <w:rsid w:val="00A46761"/>
    <w:rsid w:val="00A46B03"/>
    <w:rsid w:val="00A5390E"/>
    <w:rsid w:val="00A53C45"/>
    <w:rsid w:val="00A54C95"/>
    <w:rsid w:val="00A60948"/>
    <w:rsid w:val="00A62C8B"/>
    <w:rsid w:val="00A70A13"/>
    <w:rsid w:val="00A74FE2"/>
    <w:rsid w:val="00A75998"/>
    <w:rsid w:val="00AA2371"/>
    <w:rsid w:val="00AA23CC"/>
    <w:rsid w:val="00AB10D0"/>
    <w:rsid w:val="00AB4ABD"/>
    <w:rsid w:val="00AB4AE7"/>
    <w:rsid w:val="00AB4D35"/>
    <w:rsid w:val="00AC2227"/>
    <w:rsid w:val="00AC2E44"/>
    <w:rsid w:val="00AC7786"/>
    <w:rsid w:val="00AF30E1"/>
    <w:rsid w:val="00AF56C1"/>
    <w:rsid w:val="00B01F3C"/>
    <w:rsid w:val="00B0285D"/>
    <w:rsid w:val="00B15CC4"/>
    <w:rsid w:val="00B17EDE"/>
    <w:rsid w:val="00B22660"/>
    <w:rsid w:val="00B30BA4"/>
    <w:rsid w:val="00B43C4E"/>
    <w:rsid w:val="00B4572D"/>
    <w:rsid w:val="00B45ED7"/>
    <w:rsid w:val="00B5060D"/>
    <w:rsid w:val="00B5100E"/>
    <w:rsid w:val="00B55968"/>
    <w:rsid w:val="00B575E1"/>
    <w:rsid w:val="00B60760"/>
    <w:rsid w:val="00B6135E"/>
    <w:rsid w:val="00B6142E"/>
    <w:rsid w:val="00B62081"/>
    <w:rsid w:val="00B6302E"/>
    <w:rsid w:val="00B6665E"/>
    <w:rsid w:val="00B772CE"/>
    <w:rsid w:val="00B81A08"/>
    <w:rsid w:val="00B824EC"/>
    <w:rsid w:val="00B82EA0"/>
    <w:rsid w:val="00B94625"/>
    <w:rsid w:val="00B976E8"/>
    <w:rsid w:val="00BA5523"/>
    <w:rsid w:val="00BD0DA6"/>
    <w:rsid w:val="00BE4D39"/>
    <w:rsid w:val="00BE508F"/>
    <w:rsid w:val="00BE5DDE"/>
    <w:rsid w:val="00BF179E"/>
    <w:rsid w:val="00BF3374"/>
    <w:rsid w:val="00BF473B"/>
    <w:rsid w:val="00BF7C35"/>
    <w:rsid w:val="00C018E4"/>
    <w:rsid w:val="00C0706B"/>
    <w:rsid w:val="00C07A13"/>
    <w:rsid w:val="00C10FE6"/>
    <w:rsid w:val="00C15A97"/>
    <w:rsid w:val="00C25491"/>
    <w:rsid w:val="00C42971"/>
    <w:rsid w:val="00C46BBD"/>
    <w:rsid w:val="00C5105B"/>
    <w:rsid w:val="00C5644C"/>
    <w:rsid w:val="00C60858"/>
    <w:rsid w:val="00C62F8C"/>
    <w:rsid w:val="00C642E5"/>
    <w:rsid w:val="00C70B17"/>
    <w:rsid w:val="00C90D76"/>
    <w:rsid w:val="00C91961"/>
    <w:rsid w:val="00C930D8"/>
    <w:rsid w:val="00CA562A"/>
    <w:rsid w:val="00CB2204"/>
    <w:rsid w:val="00CB3338"/>
    <w:rsid w:val="00CB62D1"/>
    <w:rsid w:val="00CB635D"/>
    <w:rsid w:val="00CC17E0"/>
    <w:rsid w:val="00CC7FA3"/>
    <w:rsid w:val="00CD7ED7"/>
    <w:rsid w:val="00CE3A4A"/>
    <w:rsid w:val="00CE6F54"/>
    <w:rsid w:val="00CF17B0"/>
    <w:rsid w:val="00CF3258"/>
    <w:rsid w:val="00CF60E4"/>
    <w:rsid w:val="00D11549"/>
    <w:rsid w:val="00D22335"/>
    <w:rsid w:val="00D223FA"/>
    <w:rsid w:val="00D26E2B"/>
    <w:rsid w:val="00D4394D"/>
    <w:rsid w:val="00D43C75"/>
    <w:rsid w:val="00D44D80"/>
    <w:rsid w:val="00D607F8"/>
    <w:rsid w:val="00D65A98"/>
    <w:rsid w:val="00D6619C"/>
    <w:rsid w:val="00D70B00"/>
    <w:rsid w:val="00D739C0"/>
    <w:rsid w:val="00D74265"/>
    <w:rsid w:val="00D756A0"/>
    <w:rsid w:val="00D77138"/>
    <w:rsid w:val="00D8635C"/>
    <w:rsid w:val="00D87503"/>
    <w:rsid w:val="00DA0359"/>
    <w:rsid w:val="00DA1D99"/>
    <w:rsid w:val="00DB3993"/>
    <w:rsid w:val="00DB4868"/>
    <w:rsid w:val="00DC19F0"/>
    <w:rsid w:val="00DD744D"/>
    <w:rsid w:val="00DE2B24"/>
    <w:rsid w:val="00DE4388"/>
    <w:rsid w:val="00DE4C0C"/>
    <w:rsid w:val="00DF48EE"/>
    <w:rsid w:val="00DF66FE"/>
    <w:rsid w:val="00E04182"/>
    <w:rsid w:val="00E049C8"/>
    <w:rsid w:val="00E2045B"/>
    <w:rsid w:val="00E23C7B"/>
    <w:rsid w:val="00E23E8D"/>
    <w:rsid w:val="00E6402F"/>
    <w:rsid w:val="00E64617"/>
    <w:rsid w:val="00E71C51"/>
    <w:rsid w:val="00E7306B"/>
    <w:rsid w:val="00E74C16"/>
    <w:rsid w:val="00E82B8D"/>
    <w:rsid w:val="00EA064E"/>
    <w:rsid w:val="00EB016C"/>
    <w:rsid w:val="00EB36F4"/>
    <w:rsid w:val="00EB6CC6"/>
    <w:rsid w:val="00EC7C72"/>
    <w:rsid w:val="00ED0634"/>
    <w:rsid w:val="00ED1E5F"/>
    <w:rsid w:val="00ED44F6"/>
    <w:rsid w:val="00EE09C7"/>
    <w:rsid w:val="00EE3BC5"/>
    <w:rsid w:val="00EE5428"/>
    <w:rsid w:val="00EF165C"/>
    <w:rsid w:val="00EF588C"/>
    <w:rsid w:val="00EF6C9D"/>
    <w:rsid w:val="00F01F36"/>
    <w:rsid w:val="00F04965"/>
    <w:rsid w:val="00F0582B"/>
    <w:rsid w:val="00F11F87"/>
    <w:rsid w:val="00F21EDA"/>
    <w:rsid w:val="00F2268D"/>
    <w:rsid w:val="00F32BC0"/>
    <w:rsid w:val="00F36817"/>
    <w:rsid w:val="00F55783"/>
    <w:rsid w:val="00F604E5"/>
    <w:rsid w:val="00F7218D"/>
    <w:rsid w:val="00F73276"/>
    <w:rsid w:val="00F757CD"/>
    <w:rsid w:val="00F83614"/>
    <w:rsid w:val="00F867AF"/>
    <w:rsid w:val="00F91AEA"/>
    <w:rsid w:val="00FA2E0B"/>
    <w:rsid w:val="00FA7529"/>
    <w:rsid w:val="00FB4A8F"/>
    <w:rsid w:val="00FB6C80"/>
    <w:rsid w:val="00FC1FC6"/>
    <w:rsid w:val="00FC4FA6"/>
    <w:rsid w:val="00FC564D"/>
    <w:rsid w:val="00FD0324"/>
    <w:rsid w:val="00FD3695"/>
    <w:rsid w:val="00FD4F3D"/>
    <w:rsid w:val="00FE5CFE"/>
    <w:rsid w:val="00FF10D8"/>
    <w:rsid w:val="00FF24C0"/>
    <w:rsid w:val="00FF5E88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FE8FD"/>
  <w15:chartTrackingRefBased/>
  <w15:docId w15:val="{1E3A8FD3-ECB9-411E-A351-FDD7BE38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4C16"/>
    <w:pPr>
      <w:jc w:val="both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74C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E74C16"/>
    <w:rPr>
      <w:rFonts w:ascii="Calibri" w:hAnsi="Calibri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rsid w:val="009170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170CA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rsid w:val="00917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170CA"/>
    <w:rPr>
      <w:sz w:val="20"/>
      <w:szCs w:val="20"/>
    </w:rPr>
  </w:style>
  <w:style w:type="character" w:customStyle="1" w:styleId="TekstkomentarzaZnak">
    <w:name w:val="Tekst komentarza Znak"/>
    <w:link w:val="Tekstkomentarza"/>
    <w:rsid w:val="009170CA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170CA"/>
    <w:rPr>
      <w:b/>
      <w:bCs/>
    </w:rPr>
  </w:style>
  <w:style w:type="character" w:customStyle="1" w:styleId="TematkomentarzaZnak">
    <w:name w:val="Temat komentarza Znak"/>
    <w:link w:val="Tematkomentarza"/>
    <w:rsid w:val="009170CA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A70A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70A13"/>
    <w:rPr>
      <w:rFonts w:ascii="Calibri" w:hAnsi="Calibri"/>
      <w:lang w:eastAsia="en-US"/>
    </w:rPr>
  </w:style>
  <w:style w:type="character" w:styleId="Odwoanieprzypisukocowego">
    <w:name w:val="endnote reference"/>
    <w:rsid w:val="00A70A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105B"/>
    <w:pPr>
      <w:spacing w:after="200" w:line="276" w:lineRule="auto"/>
      <w:ind w:left="720"/>
      <w:contextualSpacing/>
      <w:jc w:val="left"/>
    </w:pPr>
  </w:style>
  <w:style w:type="character" w:styleId="Pogrubienie">
    <w:name w:val="Strong"/>
    <w:qFormat/>
    <w:rsid w:val="00A62C8B"/>
    <w:rPr>
      <w:rFonts w:ascii="Times New Roman" w:hAnsi="Times New Roman" w:cs="Times New Roman" w:hint="default"/>
      <w:b/>
      <w:bCs/>
    </w:rPr>
  </w:style>
  <w:style w:type="paragraph" w:styleId="Poprawka">
    <w:name w:val="Revision"/>
    <w:hidden/>
    <w:uiPriority w:val="99"/>
    <w:semiHidden/>
    <w:rsid w:val="0014470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2A9F-80CC-4DF9-AD0C-52186239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2374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MI</Company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mkotowska</dc:creator>
  <cp:keywords/>
  <cp:lastModifiedBy>Głogowski Przemysław</cp:lastModifiedBy>
  <cp:revision>2</cp:revision>
  <cp:lastPrinted>2020-01-20T13:39:00Z</cp:lastPrinted>
  <dcterms:created xsi:type="dcterms:W3CDTF">2023-01-25T07:50:00Z</dcterms:created>
  <dcterms:modified xsi:type="dcterms:W3CDTF">2023-01-25T07:50:00Z</dcterms:modified>
</cp:coreProperties>
</file>