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C073B" w14:textId="77777777" w:rsidR="00E223CC" w:rsidRDefault="000F0F97" w:rsidP="000F0F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17DE39F4" w14:textId="77777777" w:rsidR="000F0F97" w:rsidRDefault="000F0F97" w:rsidP="000F0F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61FF1C" w14:textId="4B17F52C" w:rsidR="000F0F97" w:rsidRPr="00C81B8A" w:rsidRDefault="00C81B8A" w:rsidP="00C81B8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652A">
        <w:rPr>
          <w:rFonts w:ascii="Times New Roman" w:hAnsi="Times New Roman" w:cs="Times New Roman"/>
          <w:b/>
          <w:sz w:val="24"/>
          <w:szCs w:val="24"/>
        </w:rPr>
        <w:t>Wyjaśnienie potrzeby i c</w:t>
      </w:r>
      <w:r w:rsidR="000F0F97" w:rsidRPr="00C81B8A">
        <w:rPr>
          <w:rFonts w:ascii="Times New Roman" w:hAnsi="Times New Roman" w:cs="Times New Roman"/>
          <w:b/>
          <w:sz w:val="24"/>
          <w:szCs w:val="24"/>
        </w:rPr>
        <w:t>el</w:t>
      </w:r>
      <w:r w:rsidR="0083652A">
        <w:rPr>
          <w:rFonts w:ascii="Times New Roman" w:hAnsi="Times New Roman" w:cs="Times New Roman"/>
          <w:b/>
          <w:sz w:val="24"/>
          <w:szCs w:val="24"/>
        </w:rPr>
        <w:t>u</w:t>
      </w:r>
      <w:r w:rsidR="000F0F97" w:rsidRPr="00C81B8A">
        <w:rPr>
          <w:rFonts w:ascii="Times New Roman" w:hAnsi="Times New Roman" w:cs="Times New Roman"/>
          <w:b/>
          <w:sz w:val="24"/>
          <w:szCs w:val="24"/>
        </w:rPr>
        <w:t xml:space="preserve"> wydania rozporządzenia</w:t>
      </w:r>
    </w:p>
    <w:p w14:paraId="16216856" w14:textId="6CED3A62" w:rsidR="00971F0C" w:rsidRDefault="000F0F97" w:rsidP="006166EA">
      <w:pPr>
        <w:jc w:val="both"/>
        <w:rPr>
          <w:rFonts w:ascii="Times New Roman" w:hAnsi="Times New Roman" w:cs="Times New Roman"/>
          <w:sz w:val="24"/>
          <w:szCs w:val="24"/>
        </w:rPr>
      </w:pPr>
      <w:r w:rsidRPr="000F0F97">
        <w:rPr>
          <w:rFonts w:ascii="Times New Roman" w:hAnsi="Times New Roman" w:cs="Times New Roman"/>
          <w:sz w:val="24"/>
          <w:szCs w:val="24"/>
        </w:rPr>
        <w:t xml:space="preserve">Projekt rozporządzenia Ministra </w:t>
      </w:r>
      <w:r>
        <w:rPr>
          <w:rFonts w:ascii="Times New Roman" w:hAnsi="Times New Roman" w:cs="Times New Roman"/>
          <w:sz w:val="24"/>
          <w:szCs w:val="24"/>
        </w:rPr>
        <w:t xml:space="preserve">Infrastruktury </w:t>
      </w:r>
      <w:r w:rsidRPr="000F0F97">
        <w:rPr>
          <w:rFonts w:ascii="Times New Roman" w:hAnsi="Times New Roman" w:cs="Times New Roman"/>
          <w:sz w:val="24"/>
          <w:szCs w:val="24"/>
        </w:rPr>
        <w:t xml:space="preserve">zmieniającego rozporządzenie w sprawie </w:t>
      </w:r>
      <w:r w:rsidR="009E5FE4">
        <w:rPr>
          <w:rFonts w:ascii="Times New Roman" w:hAnsi="Times New Roman" w:cs="Times New Roman"/>
          <w:sz w:val="24"/>
          <w:szCs w:val="24"/>
        </w:rPr>
        <w:t>szczegółowych wymagań dotyczących programów ochrony w</w:t>
      </w:r>
      <w:r w:rsidR="00716587">
        <w:rPr>
          <w:rFonts w:ascii="Times New Roman" w:hAnsi="Times New Roman" w:cs="Times New Roman"/>
          <w:sz w:val="24"/>
          <w:szCs w:val="24"/>
        </w:rPr>
        <w:t> </w:t>
      </w:r>
      <w:r w:rsidR="009E5FE4">
        <w:rPr>
          <w:rFonts w:ascii="Times New Roman" w:hAnsi="Times New Roman" w:cs="Times New Roman"/>
          <w:sz w:val="24"/>
          <w:szCs w:val="24"/>
        </w:rPr>
        <w:t>lotnictwie cywilnym</w:t>
      </w:r>
      <w:r w:rsidR="00AD7B11">
        <w:rPr>
          <w:rFonts w:ascii="Times New Roman" w:hAnsi="Times New Roman" w:cs="Times New Roman"/>
          <w:sz w:val="24"/>
          <w:szCs w:val="24"/>
        </w:rPr>
        <w:t>, zwany dalej „projektem”,</w:t>
      </w:r>
      <w:r w:rsidR="009E5FE4">
        <w:rPr>
          <w:rFonts w:ascii="Times New Roman" w:hAnsi="Times New Roman" w:cs="Times New Roman"/>
          <w:sz w:val="24"/>
          <w:szCs w:val="24"/>
        </w:rPr>
        <w:t xml:space="preserve"> wprowadza zmiany</w:t>
      </w:r>
      <w:r w:rsidRPr="000F0F97">
        <w:rPr>
          <w:rFonts w:ascii="Times New Roman" w:hAnsi="Times New Roman" w:cs="Times New Roman"/>
          <w:sz w:val="24"/>
          <w:szCs w:val="24"/>
        </w:rPr>
        <w:t xml:space="preserve"> do rozporządzenia Ministra Transportu, Budownictwa</w:t>
      </w:r>
      <w:r w:rsidR="009E5FE4">
        <w:rPr>
          <w:rFonts w:ascii="Times New Roman" w:hAnsi="Times New Roman" w:cs="Times New Roman"/>
          <w:sz w:val="24"/>
          <w:szCs w:val="24"/>
        </w:rPr>
        <w:t xml:space="preserve"> i Gospodarki Morskiej z dnia 15</w:t>
      </w:r>
      <w:r w:rsidRPr="000F0F97">
        <w:rPr>
          <w:rFonts w:ascii="Times New Roman" w:hAnsi="Times New Roman" w:cs="Times New Roman"/>
          <w:sz w:val="24"/>
          <w:szCs w:val="24"/>
        </w:rPr>
        <w:t xml:space="preserve"> </w:t>
      </w:r>
      <w:r w:rsidR="009E5FE4">
        <w:rPr>
          <w:rFonts w:ascii="Times New Roman" w:hAnsi="Times New Roman" w:cs="Times New Roman"/>
          <w:sz w:val="24"/>
          <w:szCs w:val="24"/>
        </w:rPr>
        <w:t>marca 2013</w:t>
      </w:r>
      <w:r w:rsidRPr="000F0F97">
        <w:rPr>
          <w:rFonts w:ascii="Times New Roman" w:hAnsi="Times New Roman" w:cs="Times New Roman"/>
          <w:sz w:val="24"/>
          <w:szCs w:val="24"/>
        </w:rPr>
        <w:t xml:space="preserve"> r. w sprawie </w:t>
      </w:r>
      <w:r w:rsidR="009E5FE4">
        <w:rPr>
          <w:rFonts w:ascii="Times New Roman" w:hAnsi="Times New Roman" w:cs="Times New Roman"/>
          <w:sz w:val="24"/>
          <w:szCs w:val="24"/>
        </w:rPr>
        <w:t>szczegółowych wymagań dotyczących programów ochrony w lotnictwie cywilnym (Dz. U. z 201</w:t>
      </w:r>
      <w:r w:rsidR="00C362E0">
        <w:rPr>
          <w:rFonts w:ascii="Times New Roman" w:hAnsi="Times New Roman" w:cs="Times New Roman"/>
          <w:sz w:val="24"/>
          <w:szCs w:val="24"/>
        </w:rPr>
        <w:t>8</w:t>
      </w:r>
      <w:r w:rsidR="009E5FE4">
        <w:rPr>
          <w:rFonts w:ascii="Times New Roman" w:hAnsi="Times New Roman" w:cs="Times New Roman"/>
          <w:sz w:val="24"/>
          <w:szCs w:val="24"/>
        </w:rPr>
        <w:t xml:space="preserve"> r. poz. </w:t>
      </w:r>
      <w:r w:rsidR="00C362E0">
        <w:rPr>
          <w:rFonts w:ascii="Times New Roman" w:hAnsi="Times New Roman" w:cs="Times New Roman"/>
          <w:sz w:val="24"/>
          <w:szCs w:val="24"/>
        </w:rPr>
        <w:t>485</w:t>
      </w:r>
      <w:r w:rsidR="009E5FE4">
        <w:rPr>
          <w:rFonts w:ascii="Times New Roman" w:hAnsi="Times New Roman" w:cs="Times New Roman"/>
          <w:sz w:val="24"/>
          <w:szCs w:val="24"/>
        </w:rPr>
        <w:t>)</w:t>
      </w:r>
      <w:r w:rsidR="00BE10E4">
        <w:rPr>
          <w:rFonts w:ascii="Times New Roman" w:hAnsi="Times New Roman" w:cs="Times New Roman"/>
          <w:sz w:val="24"/>
          <w:szCs w:val="24"/>
        </w:rPr>
        <w:t>, zwanego dalej „rozporządzeniem”,</w:t>
      </w:r>
      <w:r w:rsidR="0040403B">
        <w:rPr>
          <w:rFonts w:ascii="Times New Roman" w:hAnsi="Times New Roman" w:cs="Times New Roman"/>
          <w:sz w:val="24"/>
          <w:szCs w:val="24"/>
        </w:rPr>
        <w:t xml:space="preserve"> </w:t>
      </w:r>
      <w:r w:rsidR="001840F4">
        <w:rPr>
          <w:rFonts w:ascii="Times New Roman" w:hAnsi="Times New Roman" w:cs="Times New Roman"/>
          <w:sz w:val="24"/>
          <w:szCs w:val="24"/>
        </w:rPr>
        <w:t xml:space="preserve">i </w:t>
      </w:r>
      <w:r w:rsidR="0040403B">
        <w:rPr>
          <w:rFonts w:ascii="Times New Roman" w:hAnsi="Times New Roman" w:cs="Times New Roman"/>
          <w:sz w:val="24"/>
          <w:szCs w:val="24"/>
        </w:rPr>
        <w:t xml:space="preserve">ma na celu </w:t>
      </w:r>
      <w:r w:rsidR="00BE10E4">
        <w:rPr>
          <w:rFonts w:ascii="Times New Roman" w:hAnsi="Times New Roman" w:cs="Times New Roman"/>
          <w:sz w:val="24"/>
          <w:szCs w:val="24"/>
        </w:rPr>
        <w:t xml:space="preserve">jego </w:t>
      </w:r>
      <w:r w:rsidR="0040403B">
        <w:rPr>
          <w:rFonts w:ascii="Times New Roman" w:hAnsi="Times New Roman" w:cs="Times New Roman"/>
          <w:sz w:val="24"/>
          <w:szCs w:val="24"/>
        </w:rPr>
        <w:t>dostosowanie do</w:t>
      </w:r>
      <w:r w:rsidR="00971F0C">
        <w:rPr>
          <w:rFonts w:ascii="Times New Roman" w:hAnsi="Times New Roman" w:cs="Times New Roman"/>
          <w:sz w:val="24"/>
          <w:szCs w:val="24"/>
        </w:rPr>
        <w:t xml:space="preserve"> </w:t>
      </w:r>
      <w:r w:rsidR="00C362E0">
        <w:rPr>
          <w:rFonts w:ascii="Times New Roman" w:hAnsi="Times New Roman" w:cs="Times New Roman"/>
          <w:sz w:val="24"/>
          <w:szCs w:val="24"/>
        </w:rPr>
        <w:t xml:space="preserve">przepisów </w:t>
      </w:r>
      <w:r w:rsidR="001840F4" w:rsidRPr="001840F4">
        <w:rPr>
          <w:rFonts w:ascii="Times New Roman" w:hAnsi="Times New Roman" w:cs="Times New Roman"/>
          <w:sz w:val="24"/>
          <w:szCs w:val="24"/>
        </w:rPr>
        <w:t xml:space="preserve">rozporządzenia wykonawczego Komisji (UE) 2015/1998 z dnia 5 listopada 2015 r. ustanawiającego szczegółowe środki w celu wprowadzenia w życie wspólnych podstawowych norm ochrony lotnictwa cywilnego (Dz. Urz. UE L 299 z 14.11.2015, str. 1, z </w:t>
      </w:r>
      <w:proofErr w:type="spellStart"/>
      <w:r w:rsidR="001840F4" w:rsidRPr="001840F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840F4" w:rsidRPr="001840F4">
        <w:rPr>
          <w:rFonts w:ascii="Times New Roman" w:hAnsi="Times New Roman" w:cs="Times New Roman"/>
          <w:sz w:val="24"/>
          <w:szCs w:val="24"/>
        </w:rPr>
        <w:t>. zm.)</w:t>
      </w:r>
      <w:r w:rsidR="001840F4">
        <w:rPr>
          <w:rFonts w:ascii="Times New Roman" w:hAnsi="Times New Roman" w:cs="Times New Roman"/>
          <w:sz w:val="24"/>
          <w:szCs w:val="24"/>
        </w:rPr>
        <w:t xml:space="preserve">, </w:t>
      </w:r>
      <w:r w:rsidR="00D92539">
        <w:rPr>
          <w:rFonts w:ascii="Times New Roman" w:hAnsi="Times New Roman" w:cs="Times New Roman"/>
          <w:sz w:val="24"/>
          <w:szCs w:val="24"/>
        </w:rPr>
        <w:t xml:space="preserve">zwanego dalej </w:t>
      </w:r>
      <w:r w:rsidR="006E2323">
        <w:rPr>
          <w:rFonts w:ascii="Times New Roman" w:hAnsi="Times New Roman" w:cs="Times New Roman"/>
          <w:sz w:val="24"/>
          <w:szCs w:val="24"/>
        </w:rPr>
        <w:t>„</w:t>
      </w:r>
      <w:r w:rsidR="00D92539">
        <w:rPr>
          <w:rFonts w:ascii="Times New Roman" w:hAnsi="Times New Roman" w:cs="Times New Roman"/>
          <w:sz w:val="24"/>
          <w:szCs w:val="24"/>
        </w:rPr>
        <w:t>rozporządzeniem nr 2015/1998</w:t>
      </w:r>
      <w:r w:rsidR="006E2323">
        <w:rPr>
          <w:rFonts w:ascii="Times New Roman" w:hAnsi="Times New Roman" w:cs="Times New Roman"/>
          <w:sz w:val="24"/>
          <w:szCs w:val="24"/>
        </w:rPr>
        <w:t>”</w:t>
      </w:r>
      <w:r w:rsidR="00D92539">
        <w:rPr>
          <w:rFonts w:ascii="Times New Roman" w:hAnsi="Times New Roman" w:cs="Times New Roman"/>
          <w:sz w:val="24"/>
          <w:szCs w:val="24"/>
        </w:rPr>
        <w:t xml:space="preserve">, </w:t>
      </w:r>
      <w:r w:rsidR="001840F4">
        <w:rPr>
          <w:rFonts w:ascii="Times New Roman" w:hAnsi="Times New Roman" w:cs="Times New Roman"/>
          <w:sz w:val="24"/>
          <w:szCs w:val="24"/>
        </w:rPr>
        <w:t>zmienionego</w:t>
      </w:r>
      <w:r w:rsidR="00971F0C">
        <w:rPr>
          <w:rFonts w:ascii="Times New Roman" w:hAnsi="Times New Roman" w:cs="Times New Roman"/>
          <w:sz w:val="24"/>
          <w:szCs w:val="24"/>
        </w:rPr>
        <w:t>:</w:t>
      </w:r>
    </w:p>
    <w:p w14:paraId="1D8E6629" w14:textId="2FF79C61" w:rsidR="00971F0C" w:rsidRPr="002E101E" w:rsidRDefault="009E6129" w:rsidP="002E101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101E">
        <w:rPr>
          <w:rFonts w:ascii="Times New Roman" w:hAnsi="Times New Roman" w:cs="Times New Roman"/>
          <w:sz w:val="24"/>
          <w:szCs w:val="24"/>
        </w:rPr>
        <w:t>rozporządzeni</w:t>
      </w:r>
      <w:r w:rsidR="001840F4" w:rsidRPr="002E101E">
        <w:rPr>
          <w:rFonts w:ascii="Times New Roman" w:hAnsi="Times New Roman" w:cs="Times New Roman"/>
          <w:sz w:val="24"/>
          <w:szCs w:val="24"/>
        </w:rPr>
        <w:t>em</w:t>
      </w:r>
      <w:r w:rsidRPr="002E101E">
        <w:rPr>
          <w:rFonts w:ascii="Times New Roman" w:hAnsi="Times New Roman" w:cs="Times New Roman"/>
          <w:sz w:val="24"/>
          <w:szCs w:val="24"/>
        </w:rPr>
        <w:t xml:space="preserve"> wykonawcz</w:t>
      </w:r>
      <w:r w:rsidR="001840F4" w:rsidRPr="002E101E">
        <w:rPr>
          <w:rFonts w:ascii="Times New Roman" w:hAnsi="Times New Roman" w:cs="Times New Roman"/>
          <w:sz w:val="24"/>
          <w:szCs w:val="24"/>
        </w:rPr>
        <w:t>ym</w:t>
      </w:r>
      <w:r w:rsidRPr="002E101E">
        <w:rPr>
          <w:rFonts w:ascii="Times New Roman" w:hAnsi="Times New Roman" w:cs="Times New Roman"/>
          <w:sz w:val="24"/>
          <w:szCs w:val="24"/>
        </w:rPr>
        <w:t xml:space="preserve"> Komisji (UE) </w:t>
      </w:r>
      <w:r w:rsidR="001104B3" w:rsidRPr="002E101E">
        <w:rPr>
          <w:rFonts w:ascii="Times New Roman" w:hAnsi="Times New Roman" w:cs="Times New Roman"/>
          <w:sz w:val="24"/>
          <w:szCs w:val="24"/>
        </w:rPr>
        <w:t>2019/103</w:t>
      </w:r>
      <w:r w:rsidRPr="002E101E">
        <w:rPr>
          <w:rFonts w:ascii="Times New Roman" w:hAnsi="Times New Roman" w:cs="Times New Roman"/>
          <w:sz w:val="24"/>
          <w:szCs w:val="24"/>
        </w:rPr>
        <w:t xml:space="preserve"> z dnia </w:t>
      </w:r>
      <w:r w:rsidR="001104B3" w:rsidRPr="002E101E">
        <w:rPr>
          <w:rFonts w:ascii="Times New Roman" w:hAnsi="Times New Roman" w:cs="Times New Roman"/>
          <w:sz w:val="24"/>
          <w:szCs w:val="24"/>
        </w:rPr>
        <w:t>23 stycznia 2019</w:t>
      </w:r>
      <w:r w:rsidRPr="002E101E">
        <w:rPr>
          <w:rFonts w:ascii="Times New Roman" w:hAnsi="Times New Roman" w:cs="Times New Roman"/>
          <w:sz w:val="24"/>
          <w:szCs w:val="24"/>
        </w:rPr>
        <w:t xml:space="preserve"> r. zmieniając</w:t>
      </w:r>
      <w:r w:rsidR="001840F4" w:rsidRPr="002E101E">
        <w:rPr>
          <w:rFonts w:ascii="Times New Roman" w:hAnsi="Times New Roman" w:cs="Times New Roman"/>
          <w:sz w:val="24"/>
          <w:szCs w:val="24"/>
        </w:rPr>
        <w:t>ym</w:t>
      </w:r>
      <w:r w:rsidRPr="002E101E">
        <w:rPr>
          <w:rFonts w:ascii="Times New Roman" w:hAnsi="Times New Roman" w:cs="Times New Roman"/>
          <w:sz w:val="24"/>
          <w:szCs w:val="24"/>
        </w:rPr>
        <w:t xml:space="preserve"> rozporządzenie wykonawcze (UE) 2015/1998 w odniesieniu do wyjaśnienia, harmonizacji i uproszczenia</w:t>
      </w:r>
      <w:r w:rsidR="005738CD" w:rsidRPr="002E101E">
        <w:rPr>
          <w:rFonts w:ascii="Times New Roman" w:hAnsi="Times New Roman" w:cs="Times New Roman"/>
          <w:sz w:val="24"/>
          <w:szCs w:val="24"/>
        </w:rPr>
        <w:t>, a także wzmocnienia</w:t>
      </w:r>
      <w:r w:rsidRPr="002E101E">
        <w:rPr>
          <w:rFonts w:ascii="Times New Roman" w:hAnsi="Times New Roman" w:cs="Times New Roman"/>
          <w:sz w:val="24"/>
          <w:szCs w:val="24"/>
        </w:rPr>
        <w:t xml:space="preserve"> niektórych szczególnych środków ochrony lotnictwa</w:t>
      </w:r>
      <w:r w:rsidR="00E17468" w:rsidRPr="002E101E">
        <w:rPr>
          <w:rFonts w:ascii="Times New Roman" w:hAnsi="Times New Roman" w:cs="Times New Roman"/>
          <w:sz w:val="24"/>
          <w:szCs w:val="24"/>
        </w:rPr>
        <w:t xml:space="preserve"> </w:t>
      </w:r>
      <w:r w:rsidR="007D3814" w:rsidRPr="002E101E">
        <w:rPr>
          <w:rFonts w:ascii="Times New Roman" w:hAnsi="Times New Roman" w:cs="Times New Roman"/>
          <w:sz w:val="24"/>
          <w:szCs w:val="24"/>
        </w:rPr>
        <w:t>(Dz. Urz. UE L 21 z 24.01.2019, str. 13</w:t>
      </w:r>
      <w:r w:rsidR="005A71EF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5A71E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A71EF">
        <w:rPr>
          <w:rFonts w:ascii="Times New Roman" w:hAnsi="Times New Roman" w:cs="Times New Roman"/>
          <w:sz w:val="24"/>
          <w:szCs w:val="24"/>
        </w:rPr>
        <w:t>. zm.</w:t>
      </w:r>
      <w:r w:rsidR="007D3814" w:rsidRPr="002E101E">
        <w:rPr>
          <w:rFonts w:ascii="Times New Roman" w:hAnsi="Times New Roman" w:cs="Times New Roman"/>
          <w:sz w:val="24"/>
          <w:szCs w:val="24"/>
        </w:rPr>
        <w:t>)</w:t>
      </w:r>
      <w:r w:rsidR="00971F0C">
        <w:rPr>
          <w:rFonts w:ascii="Times New Roman" w:hAnsi="Times New Roman" w:cs="Times New Roman"/>
          <w:sz w:val="24"/>
          <w:szCs w:val="24"/>
        </w:rPr>
        <w:t>,</w:t>
      </w:r>
    </w:p>
    <w:p w14:paraId="3B6982D1" w14:textId="2B7FA90A" w:rsidR="000949C2" w:rsidRPr="002E101E" w:rsidRDefault="00786901" w:rsidP="002E101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101E">
        <w:rPr>
          <w:rFonts w:ascii="Times New Roman" w:hAnsi="Times New Roman" w:cs="Times New Roman"/>
          <w:sz w:val="24"/>
          <w:szCs w:val="24"/>
        </w:rPr>
        <w:t>rozporządzeni</w:t>
      </w:r>
      <w:r w:rsidR="00971F0C">
        <w:rPr>
          <w:rFonts w:ascii="Times New Roman" w:hAnsi="Times New Roman" w:cs="Times New Roman"/>
          <w:sz w:val="24"/>
          <w:szCs w:val="24"/>
        </w:rPr>
        <w:t>em</w:t>
      </w:r>
      <w:r w:rsidRPr="002E101E">
        <w:rPr>
          <w:rFonts w:ascii="Times New Roman" w:hAnsi="Times New Roman" w:cs="Times New Roman"/>
          <w:sz w:val="24"/>
          <w:szCs w:val="24"/>
        </w:rPr>
        <w:t xml:space="preserve"> wykonawcz</w:t>
      </w:r>
      <w:r w:rsidR="00971F0C">
        <w:rPr>
          <w:rFonts w:ascii="Times New Roman" w:hAnsi="Times New Roman" w:cs="Times New Roman"/>
          <w:sz w:val="24"/>
          <w:szCs w:val="24"/>
        </w:rPr>
        <w:t>ym</w:t>
      </w:r>
      <w:r w:rsidRPr="002E101E">
        <w:rPr>
          <w:rFonts w:ascii="Times New Roman" w:hAnsi="Times New Roman" w:cs="Times New Roman"/>
          <w:sz w:val="24"/>
          <w:szCs w:val="24"/>
        </w:rPr>
        <w:t xml:space="preserve"> Komisji (UE) 2019/1583 z dnia 25 września 2019 r. </w:t>
      </w:r>
      <w:r w:rsidR="005A71EF" w:rsidRPr="002E101E">
        <w:rPr>
          <w:rFonts w:ascii="Times New Roman" w:hAnsi="Times New Roman" w:cs="Times New Roman"/>
          <w:sz w:val="24"/>
          <w:szCs w:val="24"/>
        </w:rPr>
        <w:t>zmieniając</w:t>
      </w:r>
      <w:r w:rsidR="005A71EF">
        <w:rPr>
          <w:rFonts w:ascii="Times New Roman" w:hAnsi="Times New Roman" w:cs="Times New Roman"/>
          <w:sz w:val="24"/>
          <w:szCs w:val="24"/>
        </w:rPr>
        <w:t>ym</w:t>
      </w:r>
      <w:r w:rsidR="005A71EF" w:rsidRPr="002E101E">
        <w:rPr>
          <w:rFonts w:ascii="Times New Roman" w:hAnsi="Times New Roman" w:cs="Times New Roman"/>
          <w:sz w:val="24"/>
          <w:szCs w:val="24"/>
        </w:rPr>
        <w:t xml:space="preserve"> </w:t>
      </w:r>
      <w:r w:rsidRPr="002E101E">
        <w:rPr>
          <w:rFonts w:ascii="Times New Roman" w:hAnsi="Times New Roman" w:cs="Times New Roman"/>
          <w:sz w:val="24"/>
          <w:szCs w:val="24"/>
        </w:rPr>
        <w:t xml:space="preserve">rozporządzenie wykonawcze (UE) 2015/1998 </w:t>
      </w:r>
      <w:r w:rsidR="007E47B0" w:rsidRPr="002E101E">
        <w:rPr>
          <w:rFonts w:ascii="Times New Roman" w:hAnsi="Times New Roman" w:cs="Times New Roman"/>
          <w:sz w:val="24"/>
          <w:szCs w:val="24"/>
        </w:rPr>
        <w:t>ustanawiając</w:t>
      </w:r>
      <w:r w:rsidR="00C51AA7">
        <w:rPr>
          <w:rFonts w:ascii="Times New Roman" w:hAnsi="Times New Roman" w:cs="Times New Roman"/>
          <w:sz w:val="24"/>
          <w:szCs w:val="24"/>
        </w:rPr>
        <w:t>ym</w:t>
      </w:r>
      <w:r w:rsidR="007E47B0" w:rsidRPr="002E101E">
        <w:rPr>
          <w:rFonts w:ascii="Times New Roman" w:hAnsi="Times New Roman" w:cs="Times New Roman"/>
          <w:sz w:val="24"/>
          <w:szCs w:val="24"/>
        </w:rPr>
        <w:t xml:space="preserve"> </w:t>
      </w:r>
      <w:r w:rsidRPr="002E101E">
        <w:rPr>
          <w:rFonts w:ascii="Times New Roman" w:hAnsi="Times New Roman" w:cs="Times New Roman"/>
          <w:sz w:val="24"/>
          <w:szCs w:val="24"/>
        </w:rPr>
        <w:t xml:space="preserve">szczegółowe środki w celu wprowadzenia w życie wspólnych podstawowych norm ochrony lotnictwa cywilnego w odniesieniu do środków w zakresie </w:t>
      </w:r>
      <w:proofErr w:type="spellStart"/>
      <w:r w:rsidRPr="002E101E">
        <w:rPr>
          <w:rFonts w:ascii="Times New Roman" w:hAnsi="Times New Roman" w:cs="Times New Roman"/>
          <w:sz w:val="24"/>
          <w:szCs w:val="24"/>
        </w:rPr>
        <w:t>cyberbezpieczeństwa</w:t>
      </w:r>
      <w:proofErr w:type="spellEnd"/>
      <w:r w:rsidR="007D3814" w:rsidRPr="002E101E">
        <w:rPr>
          <w:rFonts w:ascii="Times New Roman" w:hAnsi="Times New Roman" w:cs="Times New Roman"/>
          <w:sz w:val="24"/>
          <w:szCs w:val="24"/>
        </w:rPr>
        <w:t xml:space="preserve"> </w:t>
      </w:r>
      <w:r w:rsidRPr="002E101E">
        <w:rPr>
          <w:rFonts w:ascii="Times New Roman" w:hAnsi="Times New Roman" w:cs="Times New Roman"/>
          <w:sz w:val="24"/>
          <w:szCs w:val="24"/>
        </w:rPr>
        <w:t>(Dz. Urz. UE L 246 z 26.</w:t>
      </w:r>
      <w:r w:rsidR="00971F0C">
        <w:rPr>
          <w:rFonts w:ascii="Times New Roman" w:hAnsi="Times New Roman" w:cs="Times New Roman"/>
          <w:sz w:val="24"/>
          <w:szCs w:val="24"/>
        </w:rPr>
        <w:t>0</w:t>
      </w:r>
      <w:r w:rsidRPr="002E101E">
        <w:rPr>
          <w:rFonts w:ascii="Times New Roman" w:hAnsi="Times New Roman" w:cs="Times New Roman"/>
          <w:sz w:val="24"/>
          <w:szCs w:val="24"/>
        </w:rPr>
        <w:t>9.2019</w:t>
      </w:r>
      <w:r w:rsidR="00971F0C">
        <w:rPr>
          <w:rFonts w:ascii="Times New Roman" w:hAnsi="Times New Roman" w:cs="Times New Roman"/>
          <w:sz w:val="24"/>
          <w:szCs w:val="24"/>
        </w:rPr>
        <w:t>,</w:t>
      </w:r>
      <w:r w:rsidRPr="002E101E">
        <w:rPr>
          <w:rFonts w:ascii="Times New Roman" w:hAnsi="Times New Roman" w:cs="Times New Roman"/>
          <w:sz w:val="24"/>
          <w:szCs w:val="24"/>
        </w:rPr>
        <w:t xml:space="preserve"> str. 15</w:t>
      </w:r>
      <w:r w:rsidR="00596AD5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596AD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96AD5">
        <w:rPr>
          <w:rFonts w:ascii="Times New Roman" w:hAnsi="Times New Roman" w:cs="Times New Roman"/>
          <w:sz w:val="24"/>
          <w:szCs w:val="24"/>
        </w:rPr>
        <w:t>. zm.</w:t>
      </w:r>
      <w:r w:rsidRPr="002E101E">
        <w:rPr>
          <w:rFonts w:ascii="Times New Roman" w:hAnsi="Times New Roman" w:cs="Times New Roman"/>
          <w:sz w:val="24"/>
          <w:szCs w:val="24"/>
        </w:rPr>
        <w:t>)</w:t>
      </w:r>
      <w:r w:rsidR="005A71EF">
        <w:rPr>
          <w:rFonts w:ascii="Times New Roman" w:hAnsi="Times New Roman" w:cs="Times New Roman"/>
          <w:sz w:val="24"/>
          <w:szCs w:val="24"/>
        </w:rPr>
        <w:t>,</w:t>
      </w:r>
    </w:p>
    <w:p w14:paraId="2184BB3A" w14:textId="203E8A88" w:rsidR="000F0F97" w:rsidRDefault="0040403B" w:rsidP="00C24A06">
      <w:pPr>
        <w:tabs>
          <w:tab w:val="left" w:pos="78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oraz</w:t>
      </w:r>
      <w:r w:rsidR="005738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uproszczenie procesu tworzenia i zatwierdzania programów ochrony. </w:t>
      </w:r>
      <w:r w:rsidR="00C24A06">
        <w:rPr>
          <w:rFonts w:ascii="Times New Roman" w:hAnsi="Times New Roman" w:cs="Times New Roman"/>
          <w:sz w:val="24"/>
          <w:szCs w:val="24"/>
        </w:rPr>
        <w:tab/>
      </w:r>
    </w:p>
    <w:p w14:paraId="0D92BB9E" w14:textId="7C88612B" w:rsidR="0083652A" w:rsidRDefault="0083652A" w:rsidP="0083652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Przedstawienie rzeczywistego (faktycznego) stanu w dziedzinie, która ma zostać uregulowana</w:t>
      </w:r>
    </w:p>
    <w:p w14:paraId="1704974C" w14:textId="25A04D60" w:rsidR="0083652A" w:rsidRPr="0083652A" w:rsidRDefault="00934DEC" w:rsidP="00545C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Obowiązujące rozporządzenie</w:t>
      </w:r>
      <w:r w:rsidR="00B95663">
        <w:rPr>
          <w:rFonts w:ascii="Times New Roman" w:hAnsi="Times New Roman" w:cs="Times New Roman"/>
          <w:sz w:val="24"/>
          <w:szCs w:val="24"/>
        </w:rPr>
        <w:t xml:space="preserve"> zawiera przepisy dotyczące formy i treści programów ochrony </w:t>
      </w:r>
      <w:r w:rsidR="005000EF">
        <w:rPr>
          <w:rFonts w:ascii="Times New Roman" w:hAnsi="Times New Roman" w:cs="Times New Roman"/>
          <w:sz w:val="24"/>
          <w:szCs w:val="24"/>
        </w:rPr>
        <w:t xml:space="preserve">lotnisk oraz </w:t>
      </w:r>
      <w:r w:rsidR="00B95663">
        <w:rPr>
          <w:rFonts w:ascii="Times New Roman" w:hAnsi="Times New Roman" w:cs="Times New Roman"/>
          <w:sz w:val="24"/>
          <w:szCs w:val="24"/>
        </w:rPr>
        <w:t xml:space="preserve">podmiotów prowadzących działalność </w:t>
      </w:r>
      <w:r w:rsidR="005000EF">
        <w:rPr>
          <w:rFonts w:ascii="Times New Roman" w:hAnsi="Times New Roman" w:cs="Times New Roman"/>
          <w:sz w:val="24"/>
          <w:szCs w:val="24"/>
        </w:rPr>
        <w:t xml:space="preserve">lotniczą </w:t>
      </w:r>
      <w:r w:rsidR="00B95663">
        <w:rPr>
          <w:rFonts w:ascii="Times New Roman" w:hAnsi="Times New Roman" w:cs="Times New Roman"/>
          <w:sz w:val="24"/>
          <w:szCs w:val="24"/>
        </w:rPr>
        <w:t xml:space="preserve">objętą zakresem ochrony lotnictwa cywilnego. Zarówno </w:t>
      </w:r>
      <w:r w:rsidR="00EB59B1">
        <w:rPr>
          <w:rFonts w:ascii="Times New Roman" w:hAnsi="Times New Roman" w:cs="Times New Roman"/>
          <w:sz w:val="24"/>
          <w:szCs w:val="24"/>
        </w:rPr>
        <w:t xml:space="preserve">wymagania </w:t>
      </w:r>
      <w:r w:rsidR="00B95663">
        <w:rPr>
          <w:rFonts w:ascii="Times New Roman" w:hAnsi="Times New Roman" w:cs="Times New Roman"/>
          <w:sz w:val="24"/>
          <w:szCs w:val="24"/>
        </w:rPr>
        <w:t>dotyczące formy, jak i treści programów</w:t>
      </w:r>
      <w:r w:rsidR="005000EF">
        <w:rPr>
          <w:rFonts w:ascii="Times New Roman" w:hAnsi="Times New Roman" w:cs="Times New Roman"/>
          <w:sz w:val="24"/>
          <w:szCs w:val="24"/>
        </w:rPr>
        <w:t xml:space="preserve"> ochrony</w:t>
      </w:r>
      <w:r w:rsidR="00B95663">
        <w:rPr>
          <w:rFonts w:ascii="Times New Roman" w:hAnsi="Times New Roman" w:cs="Times New Roman"/>
          <w:sz w:val="24"/>
          <w:szCs w:val="24"/>
        </w:rPr>
        <w:t xml:space="preserve">, nie odpowiadają aktualnym </w:t>
      </w:r>
      <w:r w:rsidR="00EB59B1">
        <w:rPr>
          <w:rFonts w:ascii="Times New Roman" w:hAnsi="Times New Roman" w:cs="Times New Roman"/>
          <w:sz w:val="24"/>
          <w:szCs w:val="24"/>
        </w:rPr>
        <w:t xml:space="preserve">wymaganiom </w:t>
      </w:r>
      <w:r w:rsidR="00B95663">
        <w:rPr>
          <w:rFonts w:ascii="Times New Roman" w:hAnsi="Times New Roman" w:cs="Times New Roman"/>
          <w:sz w:val="24"/>
          <w:szCs w:val="24"/>
        </w:rPr>
        <w:t>ochrony lotnictwa cywilnego</w:t>
      </w:r>
      <w:r w:rsidR="001840F4">
        <w:rPr>
          <w:rFonts w:ascii="Times New Roman" w:hAnsi="Times New Roman" w:cs="Times New Roman"/>
          <w:sz w:val="24"/>
          <w:szCs w:val="24"/>
        </w:rPr>
        <w:t xml:space="preserve"> określonym w przepisach prawa Unii Europejskiej</w:t>
      </w:r>
      <w:r w:rsidR="00B95663">
        <w:rPr>
          <w:rFonts w:ascii="Times New Roman" w:hAnsi="Times New Roman" w:cs="Times New Roman"/>
          <w:sz w:val="24"/>
          <w:szCs w:val="24"/>
        </w:rPr>
        <w:t xml:space="preserve"> oraz utrudniają sprawne </w:t>
      </w:r>
      <w:r w:rsidR="001840F4">
        <w:rPr>
          <w:rFonts w:ascii="Times New Roman" w:hAnsi="Times New Roman" w:cs="Times New Roman"/>
          <w:sz w:val="24"/>
          <w:szCs w:val="24"/>
        </w:rPr>
        <w:t>zatwierdzanie tych dokumentów</w:t>
      </w:r>
      <w:r w:rsidR="00B95663">
        <w:rPr>
          <w:rFonts w:ascii="Times New Roman" w:hAnsi="Times New Roman" w:cs="Times New Roman"/>
          <w:sz w:val="24"/>
          <w:szCs w:val="24"/>
        </w:rPr>
        <w:t>. Proces zatwierdzania programów ochrony przez Prezesa Urzędu</w:t>
      </w:r>
      <w:r w:rsidR="00E35FCD">
        <w:rPr>
          <w:rFonts w:ascii="Times New Roman" w:hAnsi="Times New Roman" w:cs="Times New Roman"/>
          <w:sz w:val="24"/>
          <w:szCs w:val="24"/>
        </w:rPr>
        <w:t xml:space="preserve"> Lotnictwa </w:t>
      </w:r>
      <w:r w:rsidR="005000EF">
        <w:rPr>
          <w:rFonts w:ascii="Times New Roman" w:hAnsi="Times New Roman" w:cs="Times New Roman"/>
          <w:sz w:val="24"/>
          <w:szCs w:val="24"/>
        </w:rPr>
        <w:t>C</w:t>
      </w:r>
      <w:r w:rsidR="00E35FCD">
        <w:rPr>
          <w:rFonts w:ascii="Times New Roman" w:hAnsi="Times New Roman" w:cs="Times New Roman"/>
          <w:sz w:val="24"/>
          <w:szCs w:val="24"/>
        </w:rPr>
        <w:t>ywilnego</w:t>
      </w:r>
      <w:r w:rsidR="00B95663">
        <w:rPr>
          <w:rFonts w:ascii="Times New Roman" w:hAnsi="Times New Roman" w:cs="Times New Roman"/>
          <w:sz w:val="24"/>
          <w:szCs w:val="24"/>
        </w:rPr>
        <w:t xml:space="preserve"> wiąże się z wielokrotną </w:t>
      </w:r>
      <w:r w:rsidR="00E35FCD" w:rsidRPr="00E35FCD">
        <w:rPr>
          <w:rFonts w:ascii="Times New Roman" w:hAnsi="Times New Roman" w:cs="Times New Roman"/>
          <w:sz w:val="24"/>
          <w:szCs w:val="24"/>
        </w:rPr>
        <w:t>wymianą korespondencji i analizą kolejnych wersji programu ochrony</w:t>
      </w:r>
      <w:r w:rsidR="00E35FCD">
        <w:rPr>
          <w:rFonts w:ascii="Times New Roman" w:hAnsi="Times New Roman" w:cs="Times New Roman"/>
          <w:sz w:val="24"/>
          <w:szCs w:val="24"/>
        </w:rPr>
        <w:t>.</w:t>
      </w:r>
    </w:p>
    <w:p w14:paraId="68EED2DE" w14:textId="4AA3F947" w:rsidR="0083652A" w:rsidRDefault="0083652A" w:rsidP="0083652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Wskazanie różnic między dotychczasowym a projektowanym stanem prawnym</w:t>
      </w:r>
      <w:r w:rsidR="00D92539">
        <w:rPr>
          <w:rFonts w:ascii="Times New Roman" w:hAnsi="Times New Roman" w:cs="Times New Roman"/>
          <w:b/>
          <w:sz w:val="24"/>
          <w:szCs w:val="24"/>
        </w:rPr>
        <w:t xml:space="preserve"> i zakres regulacji</w:t>
      </w:r>
    </w:p>
    <w:p w14:paraId="7F0B0F22" w14:textId="04D4E001" w:rsidR="00292BCF" w:rsidRDefault="00292BCF" w:rsidP="00100E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p</w:t>
      </w:r>
      <w:r w:rsidRPr="006166EA">
        <w:rPr>
          <w:rFonts w:ascii="Times New Roman" w:hAnsi="Times New Roman" w:cs="Times New Roman"/>
          <w:sz w:val="24"/>
          <w:szCs w:val="24"/>
        </w:rPr>
        <w:t xml:space="preserve">kt </w:t>
      </w:r>
      <w:r>
        <w:rPr>
          <w:rFonts w:ascii="Times New Roman" w:hAnsi="Times New Roman" w:cs="Times New Roman"/>
          <w:sz w:val="24"/>
          <w:szCs w:val="24"/>
        </w:rPr>
        <w:t>11.1.11</w:t>
      </w:r>
      <w:r w:rsidRPr="006166EA">
        <w:rPr>
          <w:rFonts w:ascii="Times New Roman" w:hAnsi="Times New Roman" w:cs="Times New Roman"/>
          <w:sz w:val="24"/>
          <w:szCs w:val="24"/>
        </w:rPr>
        <w:t xml:space="preserve"> załącznika </w:t>
      </w:r>
      <w:r>
        <w:rPr>
          <w:rFonts w:ascii="Times New Roman" w:hAnsi="Times New Roman" w:cs="Times New Roman"/>
          <w:sz w:val="24"/>
          <w:szCs w:val="24"/>
        </w:rPr>
        <w:t xml:space="preserve">do rozporządzenia </w:t>
      </w:r>
      <w:r w:rsidR="00D92539">
        <w:rPr>
          <w:rFonts w:ascii="Times New Roman" w:hAnsi="Times New Roman" w:cs="Times New Roman"/>
          <w:sz w:val="24"/>
          <w:szCs w:val="24"/>
        </w:rPr>
        <w:t xml:space="preserve">nr </w:t>
      </w:r>
      <w:r w:rsidR="00E35FCD" w:rsidRPr="00E35FCD">
        <w:rPr>
          <w:rFonts w:ascii="Times New Roman" w:hAnsi="Times New Roman" w:cs="Times New Roman"/>
          <w:sz w:val="24"/>
          <w:szCs w:val="24"/>
        </w:rPr>
        <w:t>2015/1998</w:t>
      </w:r>
      <w:r w:rsidR="00E35F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4F5BAC">
        <w:rPr>
          <w:rFonts w:ascii="Times New Roman" w:hAnsi="Times New Roman" w:cs="Times New Roman"/>
          <w:sz w:val="24"/>
          <w:szCs w:val="24"/>
        </w:rPr>
        <w:t xml:space="preserve"> celu uwzględnienia zagrożeń wewnętrznych i niezależnie od treści odpowiednich szkoleń dla personelu i uzyskiwanych w nich kompetencji wymienionych w pkt 11.2, w programie ochrony operatorów i podmiotów, o których mowa w art. 12, 13 i 14 rozporządzenia </w:t>
      </w:r>
      <w:r w:rsidR="001840F4" w:rsidRPr="001840F4">
        <w:rPr>
          <w:rFonts w:ascii="Times New Roman" w:hAnsi="Times New Roman" w:cs="Times New Roman"/>
          <w:sz w:val="24"/>
          <w:szCs w:val="24"/>
        </w:rPr>
        <w:t>Parlamentu Europejskiego i Rady (WE) nr 300/2008 z dnia 11 marca 2008 r. w sprawie wspólnych zasad w dziedzinie ochrony lotnictwa cywilnego i uchylające</w:t>
      </w:r>
      <w:r w:rsidR="00AB4852">
        <w:rPr>
          <w:rFonts w:ascii="Times New Roman" w:hAnsi="Times New Roman" w:cs="Times New Roman"/>
          <w:sz w:val="24"/>
          <w:szCs w:val="24"/>
        </w:rPr>
        <w:t>go</w:t>
      </w:r>
      <w:r w:rsidR="001840F4" w:rsidRPr="001840F4">
        <w:rPr>
          <w:rFonts w:ascii="Times New Roman" w:hAnsi="Times New Roman" w:cs="Times New Roman"/>
          <w:sz w:val="24"/>
          <w:szCs w:val="24"/>
        </w:rPr>
        <w:t xml:space="preserve"> rozporządzenie (WE) nr 2320/2002</w:t>
      </w:r>
      <w:r w:rsidR="001840F4" w:rsidRPr="001840F4">
        <w:t xml:space="preserve"> </w:t>
      </w:r>
      <w:r w:rsidR="001840F4">
        <w:t>(</w:t>
      </w:r>
      <w:r w:rsidR="001840F4" w:rsidRPr="001840F4">
        <w:rPr>
          <w:rFonts w:ascii="Times New Roman" w:hAnsi="Times New Roman" w:cs="Times New Roman"/>
          <w:sz w:val="24"/>
          <w:szCs w:val="24"/>
        </w:rPr>
        <w:t>Dz.</w:t>
      </w:r>
      <w:r w:rsidR="001840F4">
        <w:rPr>
          <w:rFonts w:ascii="Times New Roman" w:hAnsi="Times New Roman" w:cs="Times New Roman"/>
          <w:sz w:val="24"/>
          <w:szCs w:val="24"/>
        </w:rPr>
        <w:t xml:space="preserve"> </w:t>
      </w:r>
      <w:r w:rsidR="001840F4" w:rsidRPr="001840F4">
        <w:rPr>
          <w:rFonts w:ascii="Times New Roman" w:hAnsi="Times New Roman" w:cs="Times New Roman"/>
          <w:sz w:val="24"/>
          <w:szCs w:val="24"/>
        </w:rPr>
        <w:t>U</w:t>
      </w:r>
      <w:r w:rsidR="001840F4">
        <w:rPr>
          <w:rFonts w:ascii="Times New Roman" w:hAnsi="Times New Roman" w:cs="Times New Roman"/>
          <w:sz w:val="24"/>
          <w:szCs w:val="24"/>
        </w:rPr>
        <w:t>rz</w:t>
      </w:r>
      <w:r w:rsidR="001840F4" w:rsidRPr="001840F4">
        <w:rPr>
          <w:rFonts w:ascii="Times New Roman" w:hAnsi="Times New Roman" w:cs="Times New Roman"/>
          <w:sz w:val="24"/>
          <w:szCs w:val="24"/>
        </w:rPr>
        <w:t xml:space="preserve">. </w:t>
      </w:r>
      <w:r w:rsidR="001840F4">
        <w:rPr>
          <w:rFonts w:ascii="Times New Roman" w:hAnsi="Times New Roman" w:cs="Times New Roman"/>
          <w:sz w:val="24"/>
          <w:szCs w:val="24"/>
        </w:rPr>
        <w:t xml:space="preserve">UE </w:t>
      </w:r>
      <w:r w:rsidR="001840F4" w:rsidRPr="001840F4">
        <w:rPr>
          <w:rFonts w:ascii="Times New Roman" w:hAnsi="Times New Roman" w:cs="Times New Roman"/>
          <w:sz w:val="24"/>
          <w:szCs w:val="24"/>
        </w:rPr>
        <w:t xml:space="preserve">L 97 z </w:t>
      </w:r>
      <w:r w:rsidR="001840F4">
        <w:rPr>
          <w:rFonts w:ascii="Times New Roman" w:hAnsi="Times New Roman" w:cs="Times New Roman"/>
          <w:sz w:val="24"/>
          <w:szCs w:val="24"/>
        </w:rPr>
        <w:t>0</w:t>
      </w:r>
      <w:r w:rsidR="001840F4" w:rsidRPr="001840F4">
        <w:rPr>
          <w:rFonts w:ascii="Times New Roman" w:hAnsi="Times New Roman" w:cs="Times New Roman"/>
          <w:sz w:val="24"/>
          <w:szCs w:val="24"/>
        </w:rPr>
        <w:t>9.</w:t>
      </w:r>
      <w:r w:rsidR="001840F4">
        <w:rPr>
          <w:rFonts w:ascii="Times New Roman" w:hAnsi="Times New Roman" w:cs="Times New Roman"/>
          <w:sz w:val="24"/>
          <w:szCs w:val="24"/>
        </w:rPr>
        <w:t xml:space="preserve">04.2008, str. 72, z </w:t>
      </w:r>
      <w:proofErr w:type="spellStart"/>
      <w:r w:rsidR="001840F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840F4">
        <w:rPr>
          <w:rFonts w:ascii="Times New Roman" w:hAnsi="Times New Roman" w:cs="Times New Roman"/>
          <w:sz w:val="24"/>
          <w:szCs w:val="24"/>
        </w:rPr>
        <w:t>. zm.)</w:t>
      </w:r>
      <w:r w:rsidRPr="004F5BAC">
        <w:rPr>
          <w:rFonts w:ascii="Times New Roman" w:hAnsi="Times New Roman" w:cs="Times New Roman"/>
          <w:sz w:val="24"/>
          <w:szCs w:val="24"/>
        </w:rPr>
        <w:t xml:space="preserve">, zawiera się odpowiednią politykę </w:t>
      </w:r>
      <w:r w:rsidRPr="004F5BAC">
        <w:rPr>
          <w:rFonts w:ascii="Times New Roman" w:hAnsi="Times New Roman" w:cs="Times New Roman"/>
          <w:sz w:val="24"/>
          <w:szCs w:val="24"/>
        </w:rPr>
        <w:lastRenderedPageBreak/>
        <w:t xml:space="preserve">wewnętrzną i związane z nią środki zwiększające świadomość personelu oraz propagujące kulturę ochrony. </w:t>
      </w:r>
      <w:r>
        <w:rPr>
          <w:rFonts w:ascii="Times New Roman" w:hAnsi="Times New Roman" w:cs="Times New Roman"/>
          <w:sz w:val="24"/>
          <w:szCs w:val="24"/>
        </w:rPr>
        <w:t xml:space="preserve">W związku z powyższym projekt wprowadza do szczegółowych </w:t>
      </w:r>
      <w:r w:rsidR="00EB59B1">
        <w:rPr>
          <w:rFonts w:ascii="Times New Roman" w:hAnsi="Times New Roman" w:cs="Times New Roman"/>
          <w:sz w:val="24"/>
          <w:szCs w:val="24"/>
        </w:rPr>
        <w:t xml:space="preserve">wymagań </w:t>
      </w:r>
      <w:r>
        <w:rPr>
          <w:rFonts w:ascii="Times New Roman" w:hAnsi="Times New Roman" w:cs="Times New Roman"/>
          <w:sz w:val="24"/>
          <w:szCs w:val="24"/>
        </w:rPr>
        <w:t>dotyczących programów ochrony wszystkich podmiotów</w:t>
      </w:r>
      <w:r w:rsidR="00E03DED">
        <w:rPr>
          <w:rFonts w:ascii="Times New Roman" w:hAnsi="Times New Roman" w:cs="Times New Roman"/>
          <w:sz w:val="24"/>
          <w:szCs w:val="24"/>
        </w:rPr>
        <w:t>, określon</w:t>
      </w:r>
      <w:r w:rsidR="00410DF2">
        <w:rPr>
          <w:rFonts w:ascii="Times New Roman" w:hAnsi="Times New Roman" w:cs="Times New Roman"/>
          <w:sz w:val="24"/>
          <w:szCs w:val="24"/>
        </w:rPr>
        <w:t>ych</w:t>
      </w:r>
      <w:r w:rsidR="00E03DED">
        <w:rPr>
          <w:rFonts w:ascii="Times New Roman" w:hAnsi="Times New Roman" w:cs="Times New Roman"/>
          <w:sz w:val="24"/>
          <w:szCs w:val="24"/>
        </w:rPr>
        <w:t xml:space="preserve"> w załącznikach nr 1–9 do rozporządzenia,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4C82">
        <w:rPr>
          <w:rFonts w:ascii="Times New Roman" w:hAnsi="Times New Roman" w:cs="Times New Roman"/>
          <w:sz w:val="24"/>
          <w:szCs w:val="24"/>
        </w:rPr>
        <w:t xml:space="preserve">pkt lub </w:t>
      </w:r>
      <w:proofErr w:type="spellStart"/>
      <w:r w:rsidR="00D64C82">
        <w:rPr>
          <w:rFonts w:ascii="Times New Roman" w:hAnsi="Times New Roman" w:cs="Times New Roman"/>
          <w:sz w:val="24"/>
          <w:szCs w:val="24"/>
        </w:rPr>
        <w:t>ppkt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Pr="004F5BAC">
        <w:rPr>
          <w:rFonts w:ascii="Times New Roman" w:hAnsi="Times New Roman" w:cs="Times New Roman"/>
          <w:sz w:val="24"/>
          <w:szCs w:val="24"/>
        </w:rPr>
        <w:t>Kultura ochrony oraz przeciwdziałanie zagrożeniom wewnętrznym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306468BE" w14:textId="75A233EB" w:rsidR="00786901" w:rsidRDefault="00786901" w:rsidP="002E10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Ponadto, zgodnie z pkt 1.7.2</w:t>
      </w:r>
      <w:r w:rsidR="009A6F94" w:rsidRPr="009A6F94">
        <w:t xml:space="preserve"> </w:t>
      </w:r>
      <w:r w:rsidR="009A6F94" w:rsidRPr="009A6F94">
        <w:rPr>
          <w:rFonts w:ascii="Times New Roman" w:hAnsi="Times New Roman" w:cs="Times New Roman"/>
          <w:sz w:val="24"/>
          <w:szCs w:val="24"/>
        </w:rPr>
        <w:t>załącznika do rozporządzenia nr 2015/1998</w:t>
      </w:r>
      <w:r>
        <w:rPr>
          <w:rFonts w:ascii="Times New Roman" w:hAnsi="Times New Roman" w:cs="Times New Roman"/>
          <w:sz w:val="24"/>
          <w:szCs w:val="24"/>
        </w:rPr>
        <w:t>, o</w:t>
      </w:r>
      <w:r w:rsidRPr="004766A2">
        <w:rPr>
          <w:rFonts w:ascii="Times New Roman" w:hAnsi="Times New Roman" w:cs="Times New Roman"/>
          <w:sz w:val="24"/>
          <w:szCs w:val="24"/>
        </w:rPr>
        <w:t xml:space="preserve">peratorzy portów lotniczych, przewoźnicy lotniczy i podmioty określają w swoim programie ochrony lub w innym odpowiednim dokumencie wymienionym w programie ochrony, krytyczne systemy technologii informacyjno-komunikacyjnych i </w:t>
      </w:r>
      <w:r w:rsidR="00596AD5">
        <w:rPr>
          <w:rFonts w:ascii="Times New Roman" w:hAnsi="Times New Roman" w:cs="Times New Roman"/>
          <w:sz w:val="24"/>
          <w:szCs w:val="24"/>
        </w:rPr>
        <w:t xml:space="preserve">dane oraz </w:t>
      </w:r>
      <w:r w:rsidRPr="004766A2">
        <w:rPr>
          <w:rFonts w:ascii="Times New Roman" w:hAnsi="Times New Roman" w:cs="Times New Roman"/>
          <w:sz w:val="24"/>
          <w:szCs w:val="24"/>
        </w:rPr>
        <w:t>określa</w:t>
      </w:r>
      <w:r>
        <w:rPr>
          <w:rFonts w:ascii="Times New Roman" w:hAnsi="Times New Roman" w:cs="Times New Roman"/>
          <w:sz w:val="24"/>
          <w:szCs w:val="24"/>
        </w:rPr>
        <w:t>ją</w:t>
      </w:r>
      <w:r w:rsidRPr="004766A2">
        <w:rPr>
          <w:rFonts w:ascii="Times New Roman" w:hAnsi="Times New Roman" w:cs="Times New Roman"/>
          <w:sz w:val="24"/>
          <w:szCs w:val="24"/>
        </w:rPr>
        <w:t xml:space="preserve"> szczegółowo środki mające na celu zapewnienie ochrony przed cyberatakami, które mogłyby wpłynąć na bezpieczeństwo lotnictwa cywilnego, wykrywania ich i reagowania na nie</w:t>
      </w:r>
      <w:r>
        <w:rPr>
          <w:rFonts w:ascii="Times New Roman" w:hAnsi="Times New Roman" w:cs="Times New Roman"/>
          <w:sz w:val="24"/>
          <w:szCs w:val="24"/>
        </w:rPr>
        <w:t xml:space="preserve">. W związku z powyższym do szczegółowych </w:t>
      </w:r>
      <w:r w:rsidR="00EB59B1">
        <w:rPr>
          <w:rFonts w:ascii="Times New Roman" w:hAnsi="Times New Roman" w:cs="Times New Roman"/>
          <w:sz w:val="24"/>
          <w:szCs w:val="24"/>
        </w:rPr>
        <w:t xml:space="preserve">wymagań </w:t>
      </w:r>
      <w:r>
        <w:rPr>
          <w:rFonts w:ascii="Times New Roman" w:hAnsi="Times New Roman" w:cs="Times New Roman"/>
          <w:sz w:val="24"/>
          <w:szCs w:val="24"/>
        </w:rPr>
        <w:t xml:space="preserve">dotyczących programów ochrony lotniska, przewoźnika lotniczego, zarejestrowanego agenta, zarejestrowanego dostawcy zaopatrzenia pokładowego, instytucji zapewniającej służby żeglugi powietrznej, lotniska podlegającego </w:t>
      </w:r>
      <w:r w:rsidR="008F128B">
        <w:rPr>
          <w:rFonts w:ascii="Times New Roman" w:hAnsi="Times New Roman" w:cs="Times New Roman"/>
          <w:sz w:val="24"/>
          <w:szCs w:val="24"/>
        </w:rPr>
        <w:t xml:space="preserve">w całości </w:t>
      </w:r>
      <w:r>
        <w:rPr>
          <w:rFonts w:ascii="Times New Roman" w:hAnsi="Times New Roman" w:cs="Times New Roman"/>
          <w:sz w:val="24"/>
          <w:szCs w:val="24"/>
        </w:rPr>
        <w:t>alternatywnym środkom ochrony i znanego nadawcy</w:t>
      </w:r>
      <w:r w:rsidR="008D63EC">
        <w:rPr>
          <w:rFonts w:ascii="Times New Roman" w:hAnsi="Times New Roman" w:cs="Times New Roman"/>
          <w:sz w:val="24"/>
          <w:szCs w:val="24"/>
        </w:rPr>
        <w:t>, określonych w załącznikach nr 1–6 i 9 do rozporządzenia,</w:t>
      </w:r>
      <w:r>
        <w:rPr>
          <w:rFonts w:ascii="Times New Roman" w:hAnsi="Times New Roman" w:cs="Times New Roman"/>
          <w:sz w:val="24"/>
          <w:szCs w:val="24"/>
        </w:rPr>
        <w:t xml:space="preserve"> dodano </w:t>
      </w:r>
      <w:r w:rsidR="00D64C82">
        <w:rPr>
          <w:rFonts w:ascii="Times New Roman" w:hAnsi="Times New Roman" w:cs="Times New Roman"/>
          <w:sz w:val="24"/>
          <w:szCs w:val="24"/>
        </w:rPr>
        <w:t xml:space="preserve">pkt lub </w:t>
      </w:r>
      <w:proofErr w:type="spellStart"/>
      <w:r w:rsidR="00D64C82">
        <w:rPr>
          <w:rFonts w:ascii="Times New Roman" w:hAnsi="Times New Roman" w:cs="Times New Roman"/>
          <w:sz w:val="24"/>
          <w:szCs w:val="24"/>
        </w:rPr>
        <w:t>ppkt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eastAsia="arialuni" w:hAnsi="Times New Roman" w:cs="Times New Roman"/>
          <w:sz w:val="24"/>
          <w:szCs w:val="24"/>
        </w:rPr>
        <w:t xml:space="preserve">Środki ochrony w zakresie </w:t>
      </w:r>
      <w:proofErr w:type="spellStart"/>
      <w:r>
        <w:rPr>
          <w:rFonts w:ascii="Times New Roman" w:eastAsia="arialuni" w:hAnsi="Times New Roman" w:cs="Times New Roman"/>
          <w:sz w:val="24"/>
          <w:szCs w:val="24"/>
        </w:rPr>
        <w:t>cyberbezpieczeństwa</w:t>
      </w:r>
      <w:proofErr w:type="spellEnd"/>
      <w:r>
        <w:rPr>
          <w:rFonts w:ascii="Times New Roman" w:eastAsia="arialuni" w:hAnsi="Times New Roman" w:cs="Times New Roman"/>
          <w:sz w:val="24"/>
          <w:szCs w:val="24"/>
        </w:rPr>
        <w:t>”. Załączniki nr 1</w:t>
      </w:r>
      <w:r w:rsidR="00C24A06">
        <w:rPr>
          <w:rFonts w:ascii="Times New Roman" w:eastAsia="arialuni" w:hAnsi="Times New Roman" w:cs="Times New Roman"/>
          <w:sz w:val="24"/>
          <w:szCs w:val="24"/>
        </w:rPr>
        <w:t>,</w:t>
      </w:r>
      <w:r>
        <w:rPr>
          <w:rFonts w:ascii="Times New Roman" w:eastAsia="arialuni" w:hAnsi="Times New Roman" w:cs="Times New Roman"/>
          <w:sz w:val="24"/>
          <w:szCs w:val="24"/>
        </w:rPr>
        <w:t xml:space="preserve"> 2</w:t>
      </w:r>
      <w:r w:rsidR="00E03DED">
        <w:rPr>
          <w:rFonts w:ascii="Times New Roman" w:eastAsia="arialuni" w:hAnsi="Times New Roman" w:cs="Times New Roman"/>
          <w:sz w:val="24"/>
          <w:szCs w:val="24"/>
        </w:rPr>
        <w:t xml:space="preserve"> </w:t>
      </w:r>
      <w:r w:rsidR="00C24A06">
        <w:rPr>
          <w:rFonts w:ascii="Times New Roman" w:eastAsia="arialuni" w:hAnsi="Times New Roman" w:cs="Times New Roman"/>
          <w:sz w:val="24"/>
          <w:szCs w:val="24"/>
        </w:rPr>
        <w:t xml:space="preserve">i 5 </w:t>
      </w:r>
      <w:r w:rsidR="00E03DED">
        <w:rPr>
          <w:rFonts w:ascii="Times New Roman" w:eastAsia="arialuni" w:hAnsi="Times New Roman" w:cs="Times New Roman"/>
          <w:sz w:val="24"/>
          <w:szCs w:val="24"/>
        </w:rPr>
        <w:t>do rozporządzenia</w:t>
      </w:r>
      <w:r>
        <w:rPr>
          <w:rFonts w:ascii="Times New Roman" w:eastAsia="arialuni" w:hAnsi="Times New Roman" w:cs="Times New Roman"/>
          <w:sz w:val="24"/>
          <w:szCs w:val="24"/>
        </w:rPr>
        <w:t>, dotyczące programów ochrony lotniska</w:t>
      </w:r>
      <w:r w:rsidR="00C24A06">
        <w:rPr>
          <w:rFonts w:ascii="Times New Roman" w:eastAsia="arialuni" w:hAnsi="Times New Roman" w:cs="Times New Roman"/>
          <w:sz w:val="24"/>
          <w:szCs w:val="24"/>
        </w:rPr>
        <w:t>,</w:t>
      </w:r>
      <w:r>
        <w:rPr>
          <w:rFonts w:ascii="Times New Roman" w:eastAsia="arialuni" w:hAnsi="Times New Roman" w:cs="Times New Roman"/>
          <w:sz w:val="24"/>
          <w:szCs w:val="24"/>
        </w:rPr>
        <w:t xml:space="preserve"> przewoźnika lotniczego</w:t>
      </w:r>
      <w:r w:rsidR="00C24A06">
        <w:rPr>
          <w:rFonts w:ascii="Times New Roman" w:eastAsia="arialuni" w:hAnsi="Times New Roman" w:cs="Times New Roman"/>
          <w:sz w:val="24"/>
          <w:szCs w:val="24"/>
        </w:rPr>
        <w:t xml:space="preserve"> i instytucji zapewniającej służby żeglugi powietrznej</w:t>
      </w:r>
      <w:r>
        <w:rPr>
          <w:rFonts w:ascii="Times New Roman" w:eastAsia="arialuni" w:hAnsi="Times New Roman" w:cs="Times New Roman"/>
          <w:sz w:val="24"/>
          <w:szCs w:val="24"/>
        </w:rPr>
        <w:t xml:space="preserve">, zawierały już jednostki redakcyjne odnoszące się do </w:t>
      </w:r>
      <w:proofErr w:type="spellStart"/>
      <w:r>
        <w:rPr>
          <w:rFonts w:ascii="Times New Roman" w:eastAsia="arialuni" w:hAnsi="Times New Roman" w:cs="Times New Roman"/>
          <w:sz w:val="24"/>
          <w:szCs w:val="24"/>
        </w:rPr>
        <w:t>cyberbezpieczeństwa</w:t>
      </w:r>
      <w:proofErr w:type="spellEnd"/>
      <w:r>
        <w:rPr>
          <w:rFonts w:ascii="Times New Roman" w:eastAsia="arialuni" w:hAnsi="Times New Roman" w:cs="Times New Roman"/>
          <w:sz w:val="24"/>
          <w:szCs w:val="24"/>
        </w:rPr>
        <w:t xml:space="preserve"> (bezpieczeństwa teleinformatycznego), w tych </w:t>
      </w:r>
      <w:r w:rsidR="008F128B">
        <w:rPr>
          <w:rFonts w:ascii="Times New Roman" w:eastAsia="arialuni" w:hAnsi="Times New Roman" w:cs="Times New Roman"/>
          <w:sz w:val="24"/>
          <w:szCs w:val="24"/>
        </w:rPr>
        <w:t xml:space="preserve">trzech </w:t>
      </w:r>
      <w:r>
        <w:rPr>
          <w:rFonts w:ascii="Times New Roman" w:eastAsia="arialuni" w:hAnsi="Times New Roman" w:cs="Times New Roman"/>
          <w:sz w:val="24"/>
          <w:szCs w:val="24"/>
        </w:rPr>
        <w:t xml:space="preserve">przypadkach dokonano więc jedynie ujednolicenia stosowanej terminologii. </w:t>
      </w:r>
    </w:p>
    <w:p w14:paraId="66508F73" w14:textId="6AA84D6C" w:rsidR="00292BCF" w:rsidRDefault="00292BCF" w:rsidP="00292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zakłada usunięcie </w:t>
      </w:r>
      <w:r w:rsidR="00E55DCB">
        <w:rPr>
          <w:rFonts w:ascii="Times New Roman" w:hAnsi="Times New Roman" w:cs="Times New Roman"/>
          <w:sz w:val="24"/>
          <w:szCs w:val="24"/>
        </w:rPr>
        <w:t xml:space="preserve">odniesień do uznanych nadawców </w:t>
      </w:r>
      <w:r>
        <w:rPr>
          <w:rFonts w:ascii="Times New Roman" w:hAnsi="Times New Roman" w:cs="Times New Roman"/>
          <w:sz w:val="24"/>
          <w:szCs w:val="24"/>
        </w:rPr>
        <w:t xml:space="preserve">ze szczegółowych </w:t>
      </w:r>
      <w:r w:rsidR="00EB59B1">
        <w:rPr>
          <w:rFonts w:ascii="Times New Roman" w:hAnsi="Times New Roman" w:cs="Times New Roman"/>
          <w:sz w:val="24"/>
          <w:szCs w:val="24"/>
        </w:rPr>
        <w:t xml:space="preserve">wymagań </w:t>
      </w:r>
      <w:r>
        <w:rPr>
          <w:rFonts w:ascii="Times New Roman" w:hAnsi="Times New Roman" w:cs="Times New Roman"/>
          <w:sz w:val="24"/>
          <w:szCs w:val="24"/>
        </w:rPr>
        <w:t xml:space="preserve">dotyczących programu ochrony </w:t>
      </w:r>
      <w:r w:rsidR="00E55DCB">
        <w:rPr>
          <w:rFonts w:ascii="Times New Roman" w:hAnsi="Times New Roman" w:cs="Times New Roman"/>
          <w:sz w:val="24"/>
          <w:szCs w:val="24"/>
        </w:rPr>
        <w:t xml:space="preserve">przewoźnika lotniczego, stanowiących załącznik nr 2 do rozporządzenia, oraz ze szczegółowych wymagań dotyczących programu ochrony </w:t>
      </w:r>
      <w:r>
        <w:rPr>
          <w:rFonts w:ascii="Times New Roman" w:hAnsi="Times New Roman" w:cs="Times New Roman"/>
          <w:sz w:val="24"/>
          <w:szCs w:val="24"/>
        </w:rPr>
        <w:t xml:space="preserve">zarejestrowanego agenta, stanowiących załącznik nr 3 do rozporządzenia. Wynika to z faktu, że zgodnie z przepisami rozporządzenia </w:t>
      </w:r>
      <w:r w:rsidR="00D92539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t xml:space="preserve">2015/1998 po 1 czerwca 2017 r. wyznaczenie uznanego nadawcy jest już niemożliwe, a przed tym dniem żaden z polskich zarejestrowanych agentów nie dokonał takiego wyznaczenia. W związku z tym, </w:t>
      </w:r>
      <w:r w:rsidR="003641B2">
        <w:rPr>
          <w:rFonts w:ascii="Times New Roman" w:hAnsi="Times New Roman" w:cs="Times New Roman"/>
          <w:sz w:val="24"/>
          <w:szCs w:val="24"/>
        </w:rPr>
        <w:t xml:space="preserve">wymagania </w:t>
      </w:r>
      <w:r>
        <w:rPr>
          <w:rFonts w:ascii="Times New Roman" w:hAnsi="Times New Roman" w:cs="Times New Roman"/>
          <w:sz w:val="24"/>
          <w:szCs w:val="24"/>
        </w:rPr>
        <w:t xml:space="preserve">dotyczące uznanych nadawców nie znajdują zastosowania w praktyce. </w:t>
      </w:r>
    </w:p>
    <w:p w14:paraId="3B9C119C" w14:textId="43EDD976" w:rsidR="00292BCF" w:rsidRDefault="00292BCF" w:rsidP="00292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projekt przewiduje następujące zmiany:</w:t>
      </w:r>
    </w:p>
    <w:p w14:paraId="6D5C578C" w14:textId="1B3374A7" w:rsidR="00292BCF" w:rsidRDefault="00292BCF" w:rsidP="00D9253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§ 2 pkt 2 rozporządzenia odwołanie do rozporządzenia </w:t>
      </w:r>
      <w:r w:rsidRPr="00396D12">
        <w:rPr>
          <w:rFonts w:ascii="Times New Roman" w:hAnsi="Times New Roman" w:cs="Times New Roman"/>
          <w:sz w:val="24"/>
          <w:szCs w:val="24"/>
        </w:rPr>
        <w:t>wykonawcz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396D12">
        <w:rPr>
          <w:rFonts w:ascii="Times New Roman" w:hAnsi="Times New Roman" w:cs="Times New Roman"/>
          <w:sz w:val="24"/>
          <w:szCs w:val="24"/>
        </w:rPr>
        <w:t xml:space="preserve"> Komisji Europejskiej (UE) nr 1035/2011 z dnia 17 października 2011 r. ustanawiając</w:t>
      </w:r>
      <w:r w:rsidR="00D92539">
        <w:rPr>
          <w:rFonts w:ascii="Times New Roman" w:hAnsi="Times New Roman" w:cs="Times New Roman"/>
          <w:sz w:val="24"/>
          <w:szCs w:val="24"/>
        </w:rPr>
        <w:t>ego</w:t>
      </w:r>
      <w:r w:rsidRPr="00396D12">
        <w:rPr>
          <w:rFonts w:ascii="Times New Roman" w:hAnsi="Times New Roman" w:cs="Times New Roman"/>
          <w:sz w:val="24"/>
          <w:szCs w:val="24"/>
        </w:rPr>
        <w:t xml:space="preserve"> wspólne wymogi dotyczące zapewniania służb żeglugi powietrznej oraz zmieniając</w:t>
      </w:r>
      <w:r w:rsidR="003F0C45">
        <w:rPr>
          <w:rFonts w:ascii="Times New Roman" w:hAnsi="Times New Roman" w:cs="Times New Roman"/>
          <w:sz w:val="24"/>
          <w:szCs w:val="24"/>
        </w:rPr>
        <w:t>ego</w:t>
      </w:r>
      <w:r w:rsidRPr="00396D12">
        <w:rPr>
          <w:rFonts w:ascii="Times New Roman" w:hAnsi="Times New Roman" w:cs="Times New Roman"/>
          <w:sz w:val="24"/>
          <w:szCs w:val="24"/>
        </w:rPr>
        <w:t xml:space="preserve"> rozporządzenia</w:t>
      </w:r>
      <w:r>
        <w:rPr>
          <w:rFonts w:ascii="Times New Roman" w:hAnsi="Times New Roman" w:cs="Times New Roman"/>
          <w:sz w:val="24"/>
          <w:szCs w:val="24"/>
        </w:rPr>
        <w:t xml:space="preserve"> (WE) nr 482/2008 i (UE) nr 691</w:t>
      </w:r>
      <w:r w:rsidR="003F0C45">
        <w:rPr>
          <w:rFonts w:ascii="Times New Roman" w:hAnsi="Times New Roman" w:cs="Times New Roman"/>
          <w:sz w:val="24"/>
          <w:szCs w:val="24"/>
        </w:rPr>
        <w:t>/2010</w:t>
      </w:r>
      <w:r w:rsidR="00D92539" w:rsidRPr="00D92539">
        <w:t xml:space="preserve"> </w:t>
      </w:r>
      <w:r w:rsidR="00D92539" w:rsidRPr="00D92539">
        <w:rPr>
          <w:rFonts w:ascii="Times New Roman" w:hAnsi="Times New Roman" w:cs="Times New Roman"/>
          <w:sz w:val="24"/>
          <w:szCs w:val="24"/>
        </w:rPr>
        <w:t>(Dz.</w:t>
      </w:r>
      <w:r w:rsidR="00831643">
        <w:rPr>
          <w:rFonts w:ascii="Times New Roman" w:hAnsi="Times New Roman" w:cs="Times New Roman"/>
          <w:sz w:val="24"/>
          <w:szCs w:val="24"/>
        </w:rPr>
        <w:t xml:space="preserve"> </w:t>
      </w:r>
      <w:r w:rsidR="00D92539" w:rsidRPr="00D92539">
        <w:rPr>
          <w:rFonts w:ascii="Times New Roman" w:hAnsi="Times New Roman" w:cs="Times New Roman"/>
          <w:sz w:val="24"/>
          <w:szCs w:val="24"/>
        </w:rPr>
        <w:t xml:space="preserve">Urz. UE L 271 z 18.10.2011, str. 23, z </w:t>
      </w:r>
      <w:proofErr w:type="spellStart"/>
      <w:r w:rsidR="00D92539" w:rsidRPr="00D9253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D92539" w:rsidRPr="00D92539">
        <w:rPr>
          <w:rFonts w:ascii="Times New Roman" w:hAnsi="Times New Roman" w:cs="Times New Roman"/>
          <w:sz w:val="24"/>
          <w:szCs w:val="24"/>
        </w:rPr>
        <w:t>. zm.)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7B78">
        <w:rPr>
          <w:rFonts w:ascii="Times New Roman" w:hAnsi="Times New Roman" w:cs="Times New Roman"/>
          <w:sz w:val="24"/>
          <w:szCs w:val="24"/>
        </w:rPr>
        <w:t xml:space="preserve">w związku z uchyleniem tego aktu </w:t>
      </w:r>
      <w:r>
        <w:rPr>
          <w:rFonts w:ascii="Times New Roman" w:hAnsi="Times New Roman" w:cs="Times New Roman"/>
          <w:sz w:val="24"/>
          <w:szCs w:val="24"/>
        </w:rPr>
        <w:t>zastąpiono odwołaniem do rozporządzenia wykonawczego Komisji (UE)</w:t>
      </w:r>
      <w:r w:rsidRPr="00396D12">
        <w:rPr>
          <w:rFonts w:ascii="Times New Roman" w:hAnsi="Times New Roman" w:cs="Times New Roman"/>
          <w:sz w:val="24"/>
          <w:szCs w:val="24"/>
        </w:rPr>
        <w:t xml:space="preserve"> 2017/373 z dnia 1 marca 2017 r. ustanawiające</w:t>
      </w:r>
      <w:r w:rsidR="00E92B9B">
        <w:rPr>
          <w:rFonts w:ascii="Times New Roman" w:hAnsi="Times New Roman" w:cs="Times New Roman"/>
          <w:sz w:val="24"/>
          <w:szCs w:val="24"/>
        </w:rPr>
        <w:t>go</w:t>
      </w:r>
      <w:r w:rsidRPr="00396D12">
        <w:rPr>
          <w:rFonts w:ascii="Times New Roman" w:hAnsi="Times New Roman" w:cs="Times New Roman"/>
          <w:sz w:val="24"/>
          <w:szCs w:val="24"/>
        </w:rPr>
        <w:t xml:space="preserve"> wspólne wymogi dotyczące instytucji zapewniających zarządzanie ruchem lotniczym/służby żeglugi powietrznej i inne funkcje sieciowe zarządzania ruchem lotniczym oraz nadzoru nad nimi, uchylające</w:t>
      </w:r>
      <w:r w:rsidR="00E92B9B">
        <w:rPr>
          <w:rFonts w:ascii="Times New Roman" w:hAnsi="Times New Roman" w:cs="Times New Roman"/>
          <w:sz w:val="24"/>
          <w:szCs w:val="24"/>
        </w:rPr>
        <w:t>go</w:t>
      </w:r>
      <w:r w:rsidRPr="00396D12">
        <w:rPr>
          <w:rFonts w:ascii="Times New Roman" w:hAnsi="Times New Roman" w:cs="Times New Roman"/>
          <w:sz w:val="24"/>
          <w:szCs w:val="24"/>
        </w:rPr>
        <w:t xml:space="preserve"> rozporządzenie (WE) nr 482/2008, rozporządzenia wykonawcze (UE) nr 1034/2011, (UE) nr 1035/2011 i (UE) 2016/1377 oraz zmieniające</w:t>
      </w:r>
      <w:r w:rsidR="00E92B9B">
        <w:rPr>
          <w:rFonts w:ascii="Times New Roman" w:hAnsi="Times New Roman" w:cs="Times New Roman"/>
          <w:sz w:val="24"/>
          <w:szCs w:val="24"/>
        </w:rPr>
        <w:t>go</w:t>
      </w:r>
      <w:r w:rsidRPr="00396D12">
        <w:rPr>
          <w:rFonts w:ascii="Times New Roman" w:hAnsi="Times New Roman" w:cs="Times New Roman"/>
          <w:sz w:val="24"/>
          <w:szCs w:val="24"/>
        </w:rPr>
        <w:t xml:space="preserve"> rozporządzenie (UE) nr 677/2011</w:t>
      </w:r>
      <w:r w:rsidR="00D92539" w:rsidRPr="00D92539" w:rsidDel="00695B02">
        <w:rPr>
          <w:rFonts w:ascii="Times New Roman" w:hAnsi="Times New Roman" w:cs="Times New Roman"/>
          <w:sz w:val="24"/>
          <w:szCs w:val="24"/>
        </w:rPr>
        <w:t xml:space="preserve">(Dz. Urz. UE L 62 z 08.03.2017, str. 1, z </w:t>
      </w:r>
      <w:proofErr w:type="spellStart"/>
      <w:r w:rsidR="00D92539" w:rsidRPr="00D92539" w:rsidDel="00695B0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D92539" w:rsidRPr="00D92539" w:rsidDel="00695B02">
        <w:rPr>
          <w:rFonts w:ascii="Times New Roman" w:hAnsi="Times New Roman" w:cs="Times New Roman"/>
          <w:sz w:val="24"/>
          <w:szCs w:val="24"/>
        </w:rPr>
        <w:t>. zm.</w:t>
      </w:r>
      <w:r w:rsidR="00D92539" w:rsidDel="00695B0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9799D0" w14:textId="486A6A1C" w:rsidR="00292BCF" w:rsidRDefault="00292BCF" w:rsidP="00292BC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Dotychczas załącznik nr 1 do rozporządzenia określał szczegółowe wymagania dotyczące programu ochrony </w:t>
      </w:r>
      <w:r w:rsidR="00916402">
        <w:rPr>
          <w:rFonts w:ascii="Times New Roman" w:hAnsi="Times New Roman" w:cs="Times New Roman"/>
          <w:sz w:val="24"/>
          <w:szCs w:val="24"/>
        </w:rPr>
        <w:t xml:space="preserve">portu lotniczego i innego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1C96">
        <w:rPr>
          <w:rFonts w:ascii="Times New Roman" w:hAnsi="Times New Roman" w:cs="Times New Roman"/>
          <w:sz w:val="24"/>
          <w:szCs w:val="24"/>
        </w:rPr>
        <w:t xml:space="preserve">otniska niepodlegającego </w:t>
      </w:r>
      <w:r w:rsidRPr="00B41C96">
        <w:rPr>
          <w:rFonts w:ascii="Times New Roman" w:hAnsi="Times New Roman" w:cs="Times New Roman"/>
          <w:sz w:val="24"/>
          <w:szCs w:val="24"/>
        </w:rPr>
        <w:lastRenderedPageBreak/>
        <w:t>alternatywnym środkom ochrony</w:t>
      </w:r>
      <w:r>
        <w:rPr>
          <w:rFonts w:ascii="Times New Roman" w:hAnsi="Times New Roman" w:cs="Times New Roman"/>
          <w:sz w:val="24"/>
          <w:szCs w:val="24"/>
        </w:rPr>
        <w:t xml:space="preserve">, natomiast załącznik nr 6 </w:t>
      </w:r>
      <w:r w:rsidR="00D92539">
        <w:rPr>
          <w:rFonts w:ascii="Times New Roman" w:hAnsi="Times New Roman" w:cs="Times New Roman"/>
          <w:sz w:val="24"/>
          <w:szCs w:val="24"/>
        </w:rPr>
        <w:t xml:space="preserve">do rozporządzenia </w:t>
      </w:r>
      <w:r>
        <w:rPr>
          <w:rFonts w:ascii="Times New Roman" w:hAnsi="Times New Roman" w:cs="Times New Roman"/>
          <w:sz w:val="24"/>
          <w:szCs w:val="24"/>
        </w:rPr>
        <w:t xml:space="preserve">dotyczył programu ochrony </w:t>
      </w:r>
      <w:r w:rsidRPr="00B41C96">
        <w:rPr>
          <w:rFonts w:ascii="Times New Roman" w:hAnsi="Times New Roman" w:cs="Times New Roman"/>
          <w:sz w:val="24"/>
          <w:szCs w:val="24"/>
        </w:rPr>
        <w:t>lotniska niebędącego portem lotniczym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41C96">
        <w:rPr>
          <w:rFonts w:ascii="Times New Roman" w:hAnsi="Times New Roman" w:cs="Times New Roman"/>
          <w:sz w:val="24"/>
          <w:szCs w:val="24"/>
        </w:rPr>
        <w:t xml:space="preserve"> podlegającego alte</w:t>
      </w:r>
      <w:r>
        <w:rPr>
          <w:rFonts w:ascii="Times New Roman" w:hAnsi="Times New Roman" w:cs="Times New Roman"/>
          <w:sz w:val="24"/>
          <w:szCs w:val="24"/>
        </w:rPr>
        <w:t xml:space="preserve">rnatywnym środkom ochrony. Niejasna była sytuacja lotnisk częściowo </w:t>
      </w:r>
      <w:r w:rsidR="0065390B">
        <w:rPr>
          <w:rFonts w:ascii="Times New Roman" w:hAnsi="Times New Roman" w:cs="Times New Roman"/>
          <w:sz w:val="24"/>
          <w:szCs w:val="24"/>
        </w:rPr>
        <w:t xml:space="preserve">podlegających </w:t>
      </w:r>
      <w:r>
        <w:rPr>
          <w:rFonts w:ascii="Times New Roman" w:hAnsi="Times New Roman" w:cs="Times New Roman"/>
          <w:sz w:val="24"/>
          <w:szCs w:val="24"/>
        </w:rPr>
        <w:t xml:space="preserve">alternatywnym </w:t>
      </w:r>
      <w:r w:rsidR="0065390B">
        <w:rPr>
          <w:rFonts w:ascii="Times New Roman" w:hAnsi="Times New Roman" w:cs="Times New Roman"/>
          <w:sz w:val="24"/>
          <w:szCs w:val="24"/>
        </w:rPr>
        <w:t xml:space="preserve">środkom </w:t>
      </w:r>
      <w:r>
        <w:rPr>
          <w:rFonts w:ascii="Times New Roman" w:hAnsi="Times New Roman" w:cs="Times New Roman"/>
          <w:sz w:val="24"/>
          <w:szCs w:val="24"/>
        </w:rPr>
        <w:t xml:space="preserve">ochrony oraz portów lotniczych </w:t>
      </w:r>
      <w:r w:rsidR="0065390B">
        <w:rPr>
          <w:rFonts w:ascii="Times New Roman" w:hAnsi="Times New Roman" w:cs="Times New Roman"/>
          <w:sz w:val="24"/>
          <w:szCs w:val="24"/>
        </w:rPr>
        <w:t xml:space="preserve">podlegających alternatywnym </w:t>
      </w:r>
      <w:r>
        <w:rPr>
          <w:rFonts w:ascii="Times New Roman" w:hAnsi="Times New Roman" w:cs="Times New Roman"/>
          <w:sz w:val="24"/>
          <w:szCs w:val="24"/>
        </w:rPr>
        <w:t>środk</w:t>
      </w:r>
      <w:r w:rsidR="0065390B">
        <w:rPr>
          <w:rFonts w:ascii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hAnsi="Times New Roman" w:cs="Times New Roman"/>
          <w:sz w:val="24"/>
          <w:szCs w:val="24"/>
        </w:rPr>
        <w:t xml:space="preserve">ochrony. W związku z tym zdecydowano się na ujęcie w załączniku nr 1 </w:t>
      </w:r>
      <w:r w:rsidR="00D92539">
        <w:rPr>
          <w:rFonts w:ascii="Times New Roman" w:hAnsi="Times New Roman" w:cs="Times New Roman"/>
          <w:sz w:val="24"/>
          <w:szCs w:val="24"/>
        </w:rPr>
        <w:t xml:space="preserve">do rozporządzenia </w:t>
      </w:r>
      <w:r>
        <w:rPr>
          <w:rFonts w:ascii="Times New Roman" w:hAnsi="Times New Roman" w:cs="Times New Roman"/>
          <w:sz w:val="24"/>
          <w:szCs w:val="24"/>
        </w:rPr>
        <w:t xml:space="preserve">szczegółowych wymagań dotyczących programów ochrony lotnisk, natomiast w załączniku nr 6 </w:t>
      </w:r>
      <w:r w:rsidR="0065390B">
        <w:rPr>
          <w:rFonts w:ascii="Times New Roman" w:hAnsi="Times New Roman" w:cs="Times New Roman"/>
          <w:sz w:val="24"/>
          <w:szCs w:val="24"/>
        </w:rPr>
        <w:t xml:space="preserve">do rozporządzenia </w:t>
      </w:r>
      <w:r>
        <w:rPr>
          <w:rFonts w:ascii="Times New Roman" w:hAnsi="Times New Roman" w:cs="Times New Roman"/>
          <w:sz w:val="24"/>
          <w:szCs w:val="24"/>
        </w:rPr>
        <w:t xml:space="preserve">wymagań dotyczących lotnisk </w:t>
      </w:r>
      <w:r w:rsidR="0065390B">
        <w:rPr>
          <w:rFonts w:ascii="Times New Roman" w:hAnsi="Times New Roman" w:cs="Times New Roman"/>
          <w:sz w:val="24"/>
          <w:szCs w:val="24"/>
        </w:rPr>
        <w:t xml:space="preserve">podlegających </w:t>
      </w:r>
      <w:r>
        <w:rPr>
          <w:rFonts w:ascii="Times New Roman" w:hAnsi="Times New Roman" w:cs="Times New Roman"/>
          <w:sz w:val="24"/>
          <w:szCs w:val="24"/>
        </w:rPr>
        <w:t>w całości alternatywnym środk</w:t>
      </w:r>
      <w:r w:rsidR="0065390B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ochrony</w:t>
      </w:r>
      <w:r w:rsidR="00916402">
        <w:rPr>
          <w:rFonts w:ascii="Times New Roman" w:hAnsi="Times New Roman" w:cs="Times New Roman"/>
          <w:sz w:val="24"/>
          <w:szCs w:val="24"/>
        </w:rPr>
        <w:t xml:space="preserve"> (zmiana </w:t>
      </w:r>
      <w:r w:rsidR="00916402" w:rsidRPr="00916402">
        <w:rPr>
          <w:rFonts w:ascii="Times New Roman" w:hAnsi="Times New Roman" w:cs="Times New Roman"/>
          <w:sz w:val="24"/>
          <w:szCs w:val="24"/>
        </w:rPr>
        <w:t>§</w:t>
      </w:r>
      <w:r w:rsidR="00916402">
        <w:rPr>
          <w:rFonts w:ascii="Times New Roman" w:hAnsi="Times New Roman" w:cs="Times New Roman"/>
          <w:sz w:val="24"/>
          <w:szCs w:val="24"/>
        </w:rPr>
        <w:t xml:space="preserve"> 3 pkt 1 i 6 rozporządzenia oraz </w:t>
      </w:r>
      <w:r w:rsidR="004609D7">
        <w:rPr>
          <w:rFonts w:ascii="Times New Roman" w:hAnsi="Times New Roman" w:cs="Times New Roman"/>
          <w:sz w:val="24"/>
          <w:szCs w:val="24"/>
        </w:rPr>
        <w:t>ww.</w:t>
      </w:r>
      <w:r w:rsidR="00916402">
        <w:rPr>
          <w:rFonts w:ascii="Times New Roman" w:hAnsi="Times New Roman" w:cs="Times New Roman"/>
          <w:sz w:val="24"/>
          <w:szCs w:val="24"/>
        </w:rPr>
        <w:t xml:space="preserve"> załączników)</w:t>
      </w:r>
      <w:r w:rsidR="006A45CE">
        <w:rPr>
          <w:rFonts w:ascii="Times New Roman" w:hAnsi="Times New Roman" w:cs="Times New Roman"/>
          <w:sz w:val="24"/>
          <w:szCs w:val="24"/>
        </w:rPr>
        <w:t>.</w:t>
      </w:r>
    </w:p>
    <w:p w14:paraId="74F46F17" w14:textId="3B4F3926" w:rsidR="00292BCF" w:rsidRDefault="00292BCF" w:rsidP="00292BC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Zmiany w § 4 </w:t>
      </w:r>
      <w:r w:rsidR="006C2A79">
        <w:rPr>
          <w:rFonts w:ascii="Times New Roman" w:hAnsi="Times New Roman" w:cs="Times New Roman"/>
          <w:sz w:val="24"/>
          <w:szCs w:val="24"/>
        </w:rPr>
        <w:t xml:space="preserve">rozporządzenia </w:t>
      </w:r>
      <w:r>
        <w:rPr>
          <w:rFonts w:ascii="Times New Roman" w:hAnsi="Times New Roman" w:cs="Times New Roman"/>
          <w:sz w:val="24"/>
          <w:szCs w:val="24"/>
        </w:rPr>
        <w:t xml:space="preserve">mają na celu umożliwienie sporządzania programu ochrony wyłącznie w </w:t>
      </w:r>
      <w:r w:rsidR="00917351">
        <w:rPr>
          <w:rFonts w:ascii="Times New Roman" w:hAnsi="Times New Roman" w:cs="Times New Roman"/>
          <w:sz w:val="24"/>
          <w:szCs w:val="24"/>
        </w:rPr>
        <w:t xml:space="preserve">postaci </w:t>
      </w:r>
      <w:r>
        <w:rPr>
          <w:rFonts w:ascii="Times New Roman" w:hAnsi="Times New Roman" w:cs="Times New Roman"/>
          <w:sz w:val="24"/>
          <w:szCs w:val="24"/>
        </w:rPr>
        <w:t xml:space="preserve">elektronicznej. </w:t>
      </w:r>
      <w:r w:rsidR="00917351">
        <w:rPr>
          <w:rFonts w:ascii="Times New Roman" w:hAnsi="Times New Roman" w:cs="Times New Roman"/>
          <w:sz w:val="24"/>
          <w:szCs w:val="24"/>
        </w:rPr>
        <w:t xml:space="preserve">Postać </w:t>
      </w:r>
      <w:r>
        <w:rPr>
          <w:rFonts w:ascii="Times New Roman" w:hAnsi="Times New Roman" w:cs="Times New Roman"/>
          <w:sz w:val="24"/>
          <w:szCs w:val="24"/>
        </w:rPr>
        <w:t xml:space="preserve">papierowa programu ochrony </w:t>
      </w:r>
      <w:r w:rsidR="006C2A79">
        <w:rPr>
          <w:rFonts w:ascii="Times New Roman" w:hAnsi="Times New Roman" w:cs="Times New Roman"/>
          <w:sz w:val="24"/>
          <w:szCs w:val="24"/>
        </w:rPr>
        <w:t xml:space="preserve">będzie </w:t>
      </w:r>
      <w:r>
        <w:rPr>
          <w:rFonts w:ascii="Times New Roman" w:hAnsi="Times New Roman" w:cs="Times New Roman"/>
          <w:sz w:val="24"/>
          <w:szCs w:val="24"/>
        </w:rPr>
        <w:t>wymagana  jedynie na wyraźne żądanie Prezesa Urzędu Lotnictwa Cywilnego lub innego podmiotu odpowiedzialnego za jego zatwierdzenie.</w:t>
      </w:r>
      <w:r w:rsidR="00357D10">
        <w:rPr>
          <w:rFonts w:ascii="Times New Roman" w:hAnsi="Times New Roman" w:cs="Times New Roman"/>
          <w:sz w:val="24"/>
          <w:szCs w:val="24"/>
        </w:rPr>
        <w:t xml:space="preserve"> Dodatkowo, mając na celu standaryzację i uproszczenie programów ochrony, zrezygnowano z wymogu oznaczania dokumentu dat</w:t>
      </w:r>
      <w:r w:rsidR="00FD76A8">
        <w:rPr>
          <w:rFonts w:ascii="Times New Roman" w:hAnsi="Times New Roman" w:cs="Times New Roman"/>
          <w:sz w:val="24"/>
          <w:szCs w:val="24"/>
        </w:rPr>
        <w:t>ą</w:t>
      </w:r>
      <w:r w:rsidR="00357D10">
        <w:rPr>
          <w:rFonts w:ascii="Times New Roman" w:hAnsi="Times New Roman" w:cs="Times New Roman"/>
          <w:sz w:val="24"/>
          <w:szCs w:val="24"/>
        </w:rPr>
        <w:t xml:space="preserve"> zatwierdzenia lub wejścia w życie.</w:t>
      </w:r>
      <w:r w:rsidR="000B0A60">
        <w:rPr>
          <w:rFonts w:ascii="Times New Roman" w:hAnsi="Times New Roman" w:cs="Times New Roman"/>
          <w:sz w:val="24"/>
          <w:szCs w:val="24"/>
        </w:rPr>
        <w:t xml:space="preserve"> Ze względu na odejście od </w:t>
      </w:r>
      <w:r w:rsidR="004F7B78">
        <w:rPr>
          <w:rFonts w:ascii="Times New Roman" w:hAnsi="Times New Roman" w:cs="Times New Roman"/>
          <w:sz w:val="24"/>
          <w:szCs w:val="24"/>
        </w:rPr>
        <w:t xml:space="preserve">postaci </w:t>
      </w:r>
      <w:r w:rsidR="000B0A60">
        <w:rPr>
          <w:rFonts w:ascii="Times New Roman" w:hAnsi="Times New Roman" w:cs="Times New Roman"/>
          <w:sz w:val="24"/>
          <w:szCs w:val="24"/>
        </w:rPr>
        <w:t xml:space="preserve">papierowej programu ochrony </w:t>
      </w:r>
      <w:r w:rsidR="00667046">
        <w:rPr>
          <w:rFonts w:ascii="Times New Roman" w:hAnsi="Times New Roman" w:cs="Times New Roman"/>
          <w:sz w:val="24"/>
          <w:szCs w:val="24"/>
        </w:rPr>
        <w:t xml:space="preserve">przewidziano </w:t>
      </w:r>
      <w:r w:rsidR="000B0A60">
        <w:rPr>
          <w:rFonts w:ascii="Times New Roman" w:hAnsi="Times New Roman" w:cs="Times New Roman"/>
          <w:sz w:val="24"/>
          <w:szCs w:val="24"/>
        </w:rPr>
        <w:t>uchyl</w:t>
      </w:r>
      <w:r w:rsidR="00667046">
        <w:rPr>
          <w:rFonts w:ascii="Times New Roman" w:hAnsi="Times New Roman" w:cs="Times New Roman"/>
          <w:sz w:val="24"/>
          <w:szCs w:val="24"/>
        </w:rPr>
        <w:t>enie</w:t>
      </w:r>
      <w:r w:rsidR="000B0A60">
        <w:rPr>
          <w:rFonts w:ascii="Times New Roman" w:hAnsi="Times New Roman" w:cs="Times New Roman"/>
          <w:sz w:val="24"/>
          <w:szCs w:val="24"/>
        </w:rPr>
        <w:t xml:space="preserve"> § 5 rozporządzenia, zgodnie z którym zmiany programu ochrony są wprowadzane w drodze wymiany odpowiedniego rozdziału. </w:t>
      </w:r>
    </w:p>
    <w:p w14:paraId="6C757F3F" w14:textId="77777777" w:rsidR="009F604E" w:rsidRDefault="00292BCF" w:rsidP="00D92539">
      <w:pPr>
        <w:jc w:val="both"/>
        <w:rPr>
          <w:rFonts w:ascii="Times New Roman" w:hAnsi="Times New Roman" w:cs="Times New Roman"/>
          <w:sz w:val="24"/>
          <w:szCs w:val="24"/>
        </w:rPr>
      </w:pPr>
      <w:r w:rsidRPr="00D92539">
        <w:rPr>
          <w:rFonts w:ascii="Times New Roman" w:hAnsi="Times New Roman" w:cs="Times New Roman"/>
          <w:sz w:val="24"/>
          <w:szCs w:val="24"/>
        </w:rPr>
        <w:t xml:space="preserve">W załączniku nr 3 </w:t>
      </w:r>
      <w:r w:rsidR="001F3D9D">
        <w:rPr>
          <w:rFonts w:ascii="Times New Roman" w:hAnsi="Times New Roman" w:cs="Times New Roman"/>
          <w:sz w:val="24"/>
          <w:szCs w:val="24"/>
        </w:rPr>
        <w:t xml:space="preserve">do rozporządzenia </w:t>
      </w:r>
      <w:r w:rsidRPr="00D92539">
        <w:rPr>
          <w:rFonts w:ascii="Times New Roman" w:hAnsi="Times New Roman" w:cs="Times New Roman"/>
          <w:sz w:val="24"/>
          <w:szCs w:val="24"/>
        </w:rPr>
        <w:t>zawierającym szczegółowe wymagania dotyczące programu ochrony zarejestrowanego agenta wprowadzono szereg zmian zmierzających w kierunku bardziej logicznego uporządkowania jego treści oraz doprecyzowania brzmienia niektórych punktów.</w:t>
      </w:r>
      <w:r w:rsidR="00DB2194" w:rsidRPr="00D925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2BF5FA" w14:textId="29C65E1A" w:rsidR="0083652A" w:rsidRPr="00D92539" w:rsidRDefault="009F604E" w:rsidP="00D925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z</w:t>
      </w:r>
      <w:r w:rsidR="00DB2194" w:rsidRPr="00D92539">
        <w:rPr>
          <w:rFonts w:ascii="Times New Roman" w:hAnsi="Times New Roman" w:cs="Times New Roman"/>
          <w:sz w:val="24"/>
          <w:szCs w:val="24"/>
        </w:rPr>
        <w:t xml:space="preserve"> załącznik</w:t>
      </w:r>
      <w:r>
        <w:rPr>
          <w:rFonts w:ascii="Times New Roman" w:hAnsi="Times New Roman" w:cs="Times New Roman"/>
          <w:sz w:val="24"/>
          <w:szCs w:val="24"/>
        </w:rPr>
        <w:t>ów nr 3 i 4</w:t>
      </w:r>
      <w:r w:rsidR="00DB2194" w:rsidRPr="00D925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rozporządzenia </w:t>
      </w:r>
      <w:r w:rsidR="00DB2194" w:rsidRPr="00D92539">
        <w:rPr>
          <w:rFonts w:ascii="Times New Roman" w:hAnsi="Times New Roman" w:cs="Times New Roman"/>
          <w:sz w:val="24"/>
          <w:szCs w:val="24"/>
        </w:rPr>
        <w:t xml:space="preserve">usunięto </w:t>
      </w:r>
      <w:proofErr w:type="spellStart"/>
      <w:r w:rsidR="00DB2194" w:rsidRPr="00D92539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DB2194" w:rsidRPr="00D92539">
        <w:rPr>
          <w:rFonts w:ascii="Times New Roman" w:hAnsi="Times New Roman" w:cs="Times New Roman"/>
          <w:sz w:val="24"/>
          <w:szCs w:val="24"/>
        </w:rPr>
        <w:t xml:space="preserve"> 2.3.1 i 2.3.2, zawierające informacje nie wiążące się bezpośrednio z ochroną danego zarejestrowanego agenta</w:t>
      </w:r>
      <w:r w:rsidRPr="009F604E">
        <w:t xml:space="preserve"> </w:t>
      </w:r>
      <w:r>
        <w:t xml:space="preserve">i </w:t>
      </w:r>
      <w:r w:rsidRPr="009F604E">
        <w:rPr>
          <w:rFonts w:ascii="Times New Roman" w:hAnsi="Times New Roman" w:cs="Times New Roman"/>
          <w:sz w:val="24"/>
          <w:szCs w:val="24"/>
        </w:rPr>
        <w:t>zarejestrowanego dostawcy zaopatrzenia pokładowego</w:t>
      </w:r>
      <w:r w:rsidR="00DB2194" w:rsidRPr="00D925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4ADFAF" w14:textId="119BD3C0" w:rsidR="00956B82" w:rsidRPr="003F63AE" w:rsidRDefault="00292BCF" w:rsidP="00956B82">
      <w:pPr>
        <w:jc w:val="both"/>
        <w:rPr>
          <w:rFonts w:ascii="Times New Roman" w:hAnsi="Times New Roman"/>
          <w:sz w:val="24"/>
          <w:szCs w:val="24"/>
        </w:rPr>
      </w:pPr>
      <w:r w:rsidRPr="00D92539">
        <w:rPr>
          <w:rFonts w:ascii="Times New Roman" w:hAnsi="Times New Roman" w:cs="Times New Roman"/>
          <w:sz w:val="24"/>
          <w:szCs w:val="24"/>
        </w:rPr>
        <w:t xml:space="preserve">Poza </w:t>
      </w:r>
      <w:r w:rsidR="009F20D1" w:rsidRPr="00D92539">
        <w:rPr>
          <w:rFonts w:ascii="Times New Roman" w:hAnsi="Times New Roman" w:cs="Times New Roman"/>
          <w:sz w:val="24"/>
          <w:szCs w:val="24"/>
        </w:rPr>
        <w:t xml:space="preserve">powyższymi </w:t>
      </w:r>
      <w:r w:rsidRPr="00D92539">
        <w:rPr>
          <w:rFonts w:ascii="Times New Roman" w:hAnsi="Times New Roman" w:cs="Times New Roman"/>
          <w:sz w:val="24"/>
          <w:szCs w:val="24"/>
        </w:rPr>
        <w:t>zmianami d</w:t>
      </w:r>
      <w:r w:rsidR="005C7C45" w:rsidRPr="00D92539">
        <w:rPr>
          <w:rFonts w:ascii="Times New Roman" w:hAnsi="Times New Roman" w:cs="Times New Roman"/>
          <w:sz w:val="24"/>
          <w:szCs w:val="24"/>
        </w:rPr>
        <w:t>o projektu wprowadzono przepis</w:t>
      </w:r>
      <w:r w:rsidR="00F0226D">
        <w:rPr>
          <w:rFonts w:ascii="Times New Roman" w:hAnsi="Times New Roman" w:cs="Times New Roman"/>
          <w:sz w:val="24"/>
          <w:szCs w:val="24"/>
        </w:rPr>
        <w:t xml:space="preserve"> przejściowy</w:t>
      </w:r>
      <w:r w:rsidR="00956B82">
        <w:rPr>
          <w:rFonts w:ascii="Times New Roman" w:hAnsi="Times New Roman" w:cs="Times New Roman"/>
          <w:sz w:val="24"/>
          <w:szCs w:val="24"/>
        </w:rPr>
        <w:t>, zgodnie z którym</w:t>
      </w:r>
      <w:r w:rsidR="00956B82">
        <w:rPr>
          <w:rFonts w:ascii="Times New Roman" w:hAnsi="Times New Roman"/>
          <w:sz w:val="24"/>
          <w:szCs w:val="24"/>
        </w:rPr>
        <w:t xml:space="preserve"> p</w:t>
      </w:r>
      <w:r w:rsidR="00956B82" w:rsidRPr="003F63AE">
        <w:rPr>
          <w:rFonts w:ascii="Times New Roman" w:hAnsi="Times New Roman"/>
          <w:sz w:val="24"/>
          <w:szCs w:val="24"/>
        </w:rPr>
        <w:t xml:space="preserve">rogramy ochrony i ich zmiany przedstawione do zatwierdzenia i niezatwierdzone przed dniem wejścia w życie </w:t>
      </w:r>
      <w:r w:rsidR="00F0226D">
        <w:rPr>
          <w:rFonts w:ascii="Times New Roman" w:hAnsi="Times New Roman"/>
          <w:sz w:val="24"/>
          <w:szCs w:val="24"/>
        </w:rPr>
        <w:t xml:space="preserve">projektowanego </w:t>
      </w:r>
      <w:r w:rsidR="00956B82" w:rsidRPr="003F63AE">
        <w:rPr>
          <w:rFonts w:ascii="Times New Roman" w:hAnsi="Times New Roman"/>
          <w:sz w:val="24"/>
          <w:szCs w:val="24"/>
        </w:rPr>
        <w:t xml:space="preserve">rozporządzenia podlegają dostosowaniu do wymagań </w:t>
      </w:r>
      <w:r w:rsidR="00956B82">
        <w:rPr>
          <w:rFonts w:ascii="Times New Roman" w:hAnsi="Times New Roman"/>
          <w:sz w:val="24"/>
          <w:szCs w:val="24"/>
        </w:rPr>
        <w:t xml:space="preserve">projektowanego </w:t>
      </w:r>
      <w:r w:rsidR="00956B82" w:rsidRPr="003F63AE">
        <w:rPr>
          <w:rFonts w:ascii="Times New Roman" w:hAnsi="Times New Roman"/>
          <w:sz w:val="24"/>
          <w:szCs w:val="24"/>
        </w:rPr>
        <w:t>rozporządzeni</w:t>
      </w:r>
      <w:r w:rsidR="00956B82">
        <w:rPr>
          <w:rFonts w:ascii="Times New Roman" w:hAnsi="Times New Roman"/>
          <w:sz w:val="24"/>
          <w:szCs w:val="24"/>
        </w:rPr>
        <w:t>a</w:t>
      </w:r>
      <w:r w:rsidR="00956B82" w:rsidRPr="003F63AE">
        <w:rPr>
          <w:rFonts w:ascii="Times New Roman" w:hAnsi="Times New Roman"/>
          <w:sz w:val="24"/>
          <w:szCs w:val="24"/>
        </w:rPr>
        <w:t xml:space="preserve"> i są przedstawiane do zatwierdzenia Prezesowi Urzędu Lotnictwa Cywilnego w terminie 30 dni od dnia </w:t>
      </w:r>
      <w:r w:rsidR="00956B82">
        <w:rPr>
          <w:rFonts w:ascii="Times New Roman" w:hAnsi="Times New Roman"/>
          <w:sz w:val="24"/>
          <w:szCs w:val="24"/>
        </w:rPr>
        <w:t>jego wejścia w życie</w:t>
      </w:r>
      <w:r w:rsidR="00956B82" w:rsidRPr="003F63AE">
        <w:rPr>
          <w:rFonts w:ascii="Times New Roman" w:hAnsi="Times New Roman"/>
          <w:sz w:val="24"/>
          <w:szCs w:val="24"/>
        </w:rPr>
        <w:t xml:space="preserve">. </w:t>
      </w:r>
      <w:r w:rsidR="00956B82">
        <w:rPr>
          <w:rFonts w:ascii="Times New Roman" w:hAnsi="Times New Roman"/>
          <w:sz w:val="24"/>
          <w:szCs w:val="24"/>
        </w:rPr>
        <w:t xml:space="preserve">W ocenie projektodawcy wskazany termin jest wystarczający na dostosowanie treści dokumentu do nowych wymagań. </w:t>
      </w:r>
      <w:r w:rsidR="00956B82" w:rsidRPr="003F63AE">
        <w:rPr>
          <w:rFonts w:ascii="Times New Roman" w:hAnsi="Times New Roman"/>
          <w:sz w:val="24"/>
          <w:szCs w:val="24"/>
        </w:rPr>
        <w:t xml:space="preserve">Nieprzedstawienie programów ochrony albo ich zmian Prezesowi Urzędu Lotnictwa Cywilnego do zatwierdzenia we wskazanym terminie </w:t>
      </w:r>
      <w:r w:rsidR="00956B82">
        <w:rPr>
          <w:rFonts w:ascii="Times New Roman" w:hAnsi="Times New Roman"/>
          <w:sz w:val="24"/>
          <w:szCs w:val="24"/>
        </w:rPr>
        <w:t xml:space="preserve">będzie </w:t>
      </w:r>
      <w:r w:rsidR="00956B82" w:rsidRPr="003F63AE">
        <w:rPr>
          <w:rFonts w:ascii="Times New Roman" w:hAnsi="Times New Roman"/>
          <w:sz w:val="24"/>
          <w:szCs w:val="24"/>
        </w:rPr>
        <w:t>skutk</w:t>
      </w:r>
      <w:r w:rsidR="00956B82">
        <w:rPr>
          <w:rFonts w:ascii="Times New Roman" w:hAnsi="Times New Roman"/>
          <w:sz w:val="24"/>
          <w:szCs w:val="24"/>
        </w:rPr>
        <w:t>owało</w:t>
      </w:r>
      <w:r w:rsidR="00956B82" w:rsidRPr="003F63AE">
        <w:rPr>
          <w:rFonts w:ascii="Times New Roman" w:hAnsi="Times New Roman"/>
          <w:sz w:val="24"/>
          <w:szCs w:val="24"/>
        </w:rPr>
        <w:t xml:space="preserve"> pozostawieniem ich bez rozpatrzenia.  </w:t>
      </w:r>
    </w:p>
    <w:p w14:paraId="66274991" w14:textId="55AF0AC4" w:rsidR="005C7C45" w:rsidRDefault="00956B82" w:rsidP="00D9253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Dodatkowo w projekcie przewidziany został przepis </w:t>
      </w:r>
      <w:r w:rsidR="00E417D8">
        <w:rPr>
          <w:rFonts w:ascii="Times New Roman" w:hAnsi="Times New Roman" w:cs="Times New Roman"/>
          <w:sz w:val="24"/>
          <w:szCs w:val="24"/>
        </w:rPr>
        <w:t>dostosowujący</w:t>
      </w:r>
      <w:r w:rsidR="005C7C45">
        <w:rPr>
          <w:rFonts w:ascii="Times New Roman" w:hAnsi="Times New Roman" w:cs="Times New Roman"/>
          <w:sz w:val="24"/>
          <w:szCs w:val="24"/>
        </w:rPr>
        <w:t xml:space="preserve">, zgodnie z którym </w:t>
      </w:r>
      <w:r w:rsidR="005C7C45">
        <w:rPr>
          <w:rFonts w:ascii="Times New Roman" w:hAnsi="Times New Roman"/>
          <w:sz w:val="24"/>
          <w:szCs w:val="24"/>
        </w:rPr>
        <w:t xml:space="preserve">programy ochrony zatwierdzone przed dniem wejścia w życie </w:t>
      </w:r>
      <w:r w:rsidR="00586420">
        <w:rPr>
          <w:rFonts w:ascii="Times New Roman" w:hAnsi="Times New Roman"/>
          <w:sz w:val="24"/>
          <w:szCs w:val="24"/>
        </w:rPr>
        <w:t xml:space="preserve">projektowanego </w:t>
      </w:r>
      <w:r w:rsidR="005C7C45">
        <w:rPr>
          <w:rFonts w:ascii="Times New Roman" w:hAnsi="Times New Roman"/>
          <w:sz w:val="24"/>
          <w:szCs w:val="24"/>
        </w:rPr>
        <w:t xml:space="preserve">rozporządzenia, </w:t>
      </w:r>
      <w:r w:rsidR="00586420">
        <w:rPr>
          <w:rFonts w:ascii="Times New Roman" w:hAnsi="Times New Roman"/>
          <w:sz w:val="24"/>
          <w:szCs w:val="24"/>
        </w:rPr>
        <w:t xml:space="preserve">będą </w:t>
      </w:r>
      <w:r w:rsidR="005C7C45">
        <w:rPr>
          <w:rFonts w:ascii="Times New Roman" w:hAnsi="Times New Roman"/>
          <w:sz w:val="24"/>
          <w:szCs w:val="24"/>
        </w:rPr>
        <w:t>podlega</w:t>
      </w:r>
      <w:r w:rsidR="00586420">
        <w:rPr>
          <w:rFonts w:ascii="Times New Roman" w:hAnsi="Times New Roman"/>
          <w:sz w:val="24"/>
          <w:szCs w:val="24"/>
        </w:rPr>
        <w:t>ły</w:t>
      </w:r>
      <w:r w:rsidR="005C7C45">
        <w:rPr>
          <w:rFonts w:ascii="Times New Roman" w:hAnsi="Times New Roman"/>
          <w:sz w:val="24"/>
          <w:szCs w:val="24"/>
        </w:rPr>
        <w:t xml:space="preserve"> dostosowaniu do </w:t>
      </w:r>
      <w:r w:rsidR="00586420">
        <w:rPr>
          <w:rFonts w:ascii="Times New Roman" w:hAnsi="Times New Roman"/>
          <w:sz w:val="24"/>
          <w:szCs w:val="24"/>
        </w:rPr>
        <w:t xml:space="preserve">jego </w:t>
      </w:r>
      <w:r w:rsidR="005C7C45">
        <w:rPr>
          <w:rFonts w:ascii="Times New Roman" w:hAnsi="Times New Roman"/>
          <w:sz w:val="24"/>
          <w:szCs w:val="24"/>
        </w:rPr>
        <w:t>wym</w:t>
      </w:r>
      <w:r w:rsidR="00586420">
        <w:rPr>
          <w:rFonts w:ascii="Times New Roman" w:hAnsi="Times New Roman"/>
          <w:sz w:val="24"/>
          <w:szCs w:val="24"/>
        </w:rPr>
        <w:t>agań</w:t>
      </w:r>
      <w:r w:rsidR="005C7C45">
        <w:rPr>
          <w:rFonts w:ascii="Times New Roman" w:hAnsi="Times New Roman"/>
          <w:sz w:val="24"/>
          <w:szCs w:val="24"/>
        </w:rPr>
        <w:t xml:space="preserve"> w terminie </w:t>
      </w:r>
      <w:r w:rsidR="00F0226D">
        <w:rPr>
          <w:rFonts w:ascii="Times New Roman" w:hAnsi="Times New Roman"/>
          <w:sz w:val="24"/>
          <w:szCs w:val="24"/>
        </w:rPr>
        <w:t>2</w:t>
      </w:r>
      <w:r w:rsidR="005C7C45">
        <w:rPr>
          <w:rFonts w:ascii="Times New Roman" w:hAnsi="Times New Roman"/>
          <w:sz w:val="24"/>
          <w:szCs w:val="24"/>
        </w:rPr>
        <w:t xml:space="preserve"> lat od dnia wejścia w życie </w:t>
      </w:r>
      <w:r w:rsidR="00586420">
        <w:rPr>
          <w:rFonts w:ascii="Times New Roman" w:hAnsi="Times New Roman"/>
          <w:sz w:val="24"/>
          <w:szCs w:val="24"/>
        </w:rPr>
        <w:t xml:space="preserve">projektowanego </w:t>
      </w:r>
      <w:r w:rsidR="005C7C45">
        <w:rPr>
          <w:rFonts w:ascii="Times New Roman" w:hAnsi="Times New Roman"/>
          <w:sz w:val="24"/>
          <w:szCs w:val="24"/>
        </w:rPr>
        <w:t xml:space="preserve">rozporządzenia. Przepis ten gwarantuje, że nowelizacja nie będzie wiązała się z dodatkowym obciążeniem dla podmiotów obowiązanych do sporządzenia programu ochrony, gdyż dostosowanie do nowych </w:t>
      </w:r>
      <w:r w:rsidR="00586420">
        <w:rPr>
          <w:rFonts w:ascii="Times New Roman" w:hAnsi="Times New Roman"/>
          <w:sz w:val="24"/>
          <w:szCs w:val="24"/>
        </w:rPr>
        <w:t xml:space="preserve">wymagań </w:t>
      </w:r>
      <w:r w:rsidR="005C7C45">
        <w:rPr>
          <w:rFonts w:ascii="Times New Roman" w:hAnsi="Times New Roman"/>
          <w:sz w:val="24"/>
          <w:szCs w:val="24"/>
        </w:rPr>
        <w:t xml:space="preserve">będzie można powiązać z </w:t>
      </w:r>
      <w:r w:rsidR="000B0A60">
        <w:rPr>
          <w:rFonts w:ascii="Times New Roman" w:hAnsi="Times New Roman"/>
          <w:sz w:val="24"/>
          <w:szCs w:val="24"/>
        </w:rPr>
        <w:t>bieżącą</w:t>
      </w:r>
      <w:r w:rsidR="005C7C45">
        <w:rPr>
          <w:rFonts w:ascii="Times New Roman" w:hAnsi="Times New Roman"/>
          <w:sz w:val="24"/>
          <w:szCs w:val="24"/>
        </w:rPr>
        <w:t xml:space="preserve"> aktualizacj</w:t>
      </w:r>
      <w:r w:rsidR="000B0A60">
        <w:rPr>
          <w:rFonts w:ascii="Times New Roman" w:hAnsi="Times New Roman"/>
          <w:sz w:val="24"/>
          <w:szCs w:val="24"/>
        </w:rPr>
        <w:t>ą</w:t>
      </w:r>
      <w:r w:rsidR="005C7C45">
        <w:rPr>
          <w:rFonts w:ascii="Times New Roman" w:hAnsi="Times New Roman"/>
          <w:sz w:val="24"/>
          <w:szCs w:val="24"/>
        </w:rPr>
        <w:t xml:space="preserve"> </w:t>
      </w:r>
      <w:r w:rsidR="00AD5ED9">
        <w:rPr>
          <w:rFonts w:ascii="Times New Roman" w:hAnsi="Times New Roman"/>
          <w:sz w:val="24"/>
          <w:szCs w:val="24"/>
        </w:rPr>
        <w:t xml:space="preserve">programów </w:t>
      </w:r>
      <w:r w:rsidR="002158E7">
        <w:rPr>
          <w:rFonts w:ascii="Times New Roman" w:hAnsi="Times New Roman"/>
          <w:sz w:val="24"/>
          <w:szCs w:val="24"/>
        </w:rPr>
        <w:t xml:space="preserve">ochrony </w:t>
      </w:r>
      <w:r w:rsidR="005C7C45">
        <w:rPr>
          <w:rFonts w:ascii="Times New Roman" w:hAnsi="Times New Roman"/>
          <w:sz w:val="24"/>
          <w:szCs w:val="24"/>
        </w:rPr>
        <w:t>wynikając</w:t>
      </w:r>
      <w:r w:rsidR="000B0A60">
        <w:rPr>
          <w:rFonts w:ascii="Times New Roman" w:hAnsi="Times New Roman"/>
          <w:sz w:val="24"/>
          <w:szCs w:val="24"/>
        </w:rPr>
        <w:t>ą</w:t>
      </w:r>
      <w:r w:rsidR="005C7C45">
        <w:rPr>
          <w:rFonts w:ascii="Times New Roman" w:hAnsi="Times New Roman"/>
          <w:sz w:val="24"/>
          <w:szCs w:val="24"/>
        </w:rPr>
        <w:t xml:space="preserve"> z</w:t>
      </w:r>
      <w:r w:rsidR="00B108B8">
        <w:rPr>
          <w:rFonts w:ascii="Times New Roman" w:hAnsi="Times New Roman"/>
          <w:sz w:val="24"/>
          <w:szCs w:val="24"/>
        </w:rPr>
        <w:t xml:space="preserve"> przepisów wydanych na podstawie art. 18</w:t>
      </w:r>
      <w:r w:rsidR="000B0A60">
        <w:rPr>
          <w:rFonts w:ascii="Times New Roman" w:hAnsi="Times New Roman"/>
          <w:sz w:val="24"/>
          <w:szCs w:val="24"/>
        </w:rPr>
        <w:t>7</w:t>
      </w:r>
      <w:r w:rsidR="00B108B8">
        <w:rPr>
          <w:rFonts w:ascii="Times New Roman" w:hAnsi="Times New Roman"/>
          <w:sz w:val="24"/>
          <w:szCs w:val="24"/>
        </w:rPr>
        <w:t xml:space="preserve"> ustawy z dnia 3 lipca 2002 r. – Prawo lotnicze</w:t>
      </w:r>
      <w:r w:rsidR="000B0A60">
        <w:rPr>
          <w:rFonts w:ascii="Times New Roman" w:hAnsi="Times New Roman"/>
          <w:sz w:val="24"/>
          <w:szCs w:val="24"/>
        </w:rPr>
        <w:t xml:space="preserve"> (Dz. U. z 2019 r. poz. 1580</w:t>
      </w:r>
      <w:r w:rsidR="00451464">
        <w:rPr>
          <w:rFonts w:ascii="Times New Roman" w:hAnsi="Times New Roman"/>
          <w:sz w:val="24"/>
          <w:szCs w:val="24"/>
        </w:rPr>
        <w:t xml:space="preserve">, z </w:t>
      </w:r>
      <w:proofErr w:type="spellStart"/>
      <w:r w:rsidR="00451464">
        <w:rPr>
          <w:rFonts w:ascii="Times New Roman" w:hAnsi="Times New Roman"/>
          <w:sz w:val="24"/>
          <w:szCs w:val="24"/>
        </w:rPr>
        <w:t>późn</w:t>
      </w:r>
      <w:proofErr w:type="spellEnd"/>
      <w:r w:rsidR="00451464">
        <w:rPr>
          <w:rFonts w:ascii="Times New Roman" w:hAnsi="Times New Roman"/>
          <w:sz w:val="24"/>
          <w:szCs w:val="24"/>
        </w:rPr>
        <w:t>. zm.</w:t>
      </w:r>
      <w:r w:rsidR="000B0A60">
        <w:rPr>
          <w:rFonts w:ascii="Times New Roman" w:hAnsi="Times New Roman"/>
          <w:sz w:val="24"/>
          <w:szCs w:val="24"/>
        </w:rPr>
        <w:t>)</w:t>
      </w:r>
      <w:r w:rsidR="00AD5ED9">
        <w:rPr>
          <w:rFonts w:ascii="Times New Roman" w:hAnsi="Times New Roman"/>
          <w:sz w:val="24"/>
          <w:szCs w:val="24"/>
        </w:rPr>
        <w:t>.</w:t>
      </w:r>
    </w:p>
    <w:p w14:paraId="1B7A9DAE" w14:textId="4A4510D5" w:rsidR="00E35FCD" w:rsidRDefault="009A27F5" w:rsidP="006A45CE">
      <w:pPr>
        <w:jc w:val="both"/>
        <w:rPr>
          <w:rFonts w:ascii="Times New Roman" w:hAnsi="Times New Roman"/>
          <w:sz w:val="24"/>
          <w:szCs w:val="24"/>
        </w:rPr>
      </w:pPr>
      <w:r w:rsidRPr="009A27F5">
        <w:rPr>
          <w:rFonts w:ascii="Times New Roman" w:hAnsi="Times New Roman"/>
          <w:sz w:val="24"/>
          <w:szCs w:val="24"/>
        </w:rPr>
        <w:lastRenderedPageBreak/>
        <w:t xml:space="preserve">Zgodnie z § </w:t>
      </w:r>
      <w:r>
        <w:rPr>
          <w:rFonts w:ascii="Times New Roman" w:hAnsi="Times New Roman"/>
          <w:sz w:val="24"/>
          <w:szCs w:val="24"/>
        </w:rPr>
        <w:t>3</w:t>
      </w:r>
      <w:r w:rsidRPr="009A27F5">
        <w:rPr>
          <w:rFonts w:ascii="Times New Roman" w:hAnsi="Times New Roman"/>
          <w:sz w:val="24"/>
          <w:szCs w:val="24"/>
        </w:rPr>
        <w:t xml:space="preserve"> projekt</w:t>
      </w:r>
      <w:r w:rsidR="002158E7">
        <w:rPr>
          <w:rFonts w:ascii="Times New Roman" w:hAnsi="Times New Roman"/>
          <w:sz w:val="24"/>
          <w:szCs w:val="24"/>
        </w:rPr>
        <w:t>u</w:t>
      </w:r>
      <w:r w:rsidRPr="009A27F5">
        <w:rPr>
          <w:rFonts w:ascii="Times New Roman" w:hAnsi="Times New Roman"/>
          <w:sz w:val="24"/>
          <w:szCs w:val="24"/>
        </w:rPr>
        <w:t xml:space="preserve">, </w:t>
      </w:r>
      <w:r w:rsidR="002158E7">
        <w:rPr>
          <w:rFonts w:ascii="Times New Roman" w:hAnsi="Times New Roman"/>
          <w:sz w:val="24"/>
          <w:szCs w:val="24"/>
        </w:rPr>
        <w:t xml:space="preserve">projektowane </w:t>
      </w:r>
      <w:r w:rsidRPr="009A27F5">
        <w:rPr>
          <w:rFonts w:ascii="Times New Roman" w:hAnsi="Times New Roman"/>
          <w:sz w:val="24"/>
          <w:szCs w:val="24"/>
        </w:rPr>
        <w:t>rozporządzenie wejdzie w życie po upływie 14 dni od dnia ogłoszenia – stosownie do art. 4 ust. 1 ustawy z dnia 20 lipca 2000 r. o ogłaszaniu aktów normatywnych i niektórych innych aktów prawnych (Dz. U. z 2019 r. poz. 1461).</w:t>
      </w:r>
    </w:p>
    <w:p w14:paraId="5E16583A" w14:textId="3EE915F0" w:rsidR="0083652A" w:rsidRPr="0083652A" w:rsidRDefault="009F20D1" w:rsidP="0083652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Informacje związane z procedowanie</w:t>
      </w:r>
      <w:r w:rsidR="00E92B9B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 xml:space="preserve"> projektu</w:t>
      </w:r>
    </w:p>
    <w:p w14:paraId="798AB73A" w14:textId="1FB60F89" w:rsidR="00EC58DA" w:rsidRPr="00EC58DA" w:rsidRDefault="00EC58DA" w:rsidP="00545CF5">
      <w:pPr>
        <w:jc w:val="both"/>
        <w:rPr>
          <w:rFonts w:ascii="Times New Roman" w:hAnsi="Times New Roman" w:cs="Times New Roman"/>
          <w:sz w:val="24"/>
          <w:szCs w:val="24"/>
        </w:rPr>
      </w:pPr>
      <w:r w:rsidRPr="00EC58DA">
        <w:rPr>
          <w:rFonts w:ascii="Times New Roman" w:hAnsi="Times New Roman" w:cs="Times New Roman"/>
          <w:sz w:val="24"/>
          <w:szCs w:val="24"/>
        </w:rPr>
        <w:t>Projekt jest zgodny z prawem Unii Europejskiej.</w:t>
      </w:r>
    </w:p>
    <w:p w14:paraId="59A42CA5" w14:textId="1FBE3199" w:rsidR="00EC58DA" w:rsidRPr="00EC58DA" w:rsidRDefault="00EC58DA" w:rsidP="00545CF5">
      <w:pPr>
        <w:jc w:val="both"/>
        <w:rPr>
          <w:rFonts w:ascii="Times New Roman" w:hAnsi="Times New Roman" w:cs="Times New Roman"/>
          <w:sz w:val="24"/>
          <w:szCs w:val="24"/>
        </w:rPr>
      </w:pPr>
      <w:r w:rsidRPr="00EC58DA">
        <w:rPr>
          <w:rFonts w:ascii="Times New Roman" w:hAnsi="Times New Roman" w:cs="Times New Roman"/>
          <w:sz w:val="24"/>
          <w:szCs w:val="24"/>
        </w:rPr>
        <w:t>Regulacje zawarte w projek</w:t>
      </w:r>
      <w:r w:rsidR="008452E1">
        <w:rPr>
          <w:rFonts w:ascii="Times New Roman" w:hAnsi="Times New Roman" w:cs="Times New Roman"/>
          <w:sz w:val="24"/>
          <w:szCs w:val="24"/>
        </w:rPr>
        <w:t>cie</w:t>
      </w:r>
      <w:r w:rsidR="00B000FB">
        <w:rPr>
          <w:rFonts w:ascii="Times New Roman" w:hAnsi="Times New Roman" w:cs="Times New Roman"/>
          <w:sz w:val="24"/>
          <w:szCs w:val="24"/>
        </w:rPr>
        <w:t xml:space="preserve"> </w:t>
      </w:r>
      <w:r w:rsidRPr="00EC58DA">
        <w:rPr>
          <w:rFonts w:ascii="Times New Roman" w:hAnsi="Times New Roman" w:cs="Times New Roman"/>
          <w:sz w:val="24"/>
          <w:szCs w:val="24"/>
        </w:rPr>
        <w:t>nie stanowią przepisów technicznych w rozumieniu rozporządzenia Rady Ministrów z dnia 23 grudnia 2002 r. w sprawie sposobu funkcjonowania krajowego systemu notyfikacji norm i aktów prawnych (Dz. U. poz. 2039</w:t>
      </w:r>
      <w:r w:rsidR="008452E1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8452E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452E1">
        <w:rPr>
          <w:rFonts w:ascii="Times New Roman" w:hAnsi="Times New Roman" w:cs="Times New Roman"/>
          <w:sz w:val="24"/>
          <w:szCs w:val="24"/>
        </w:rPr>
        <w:t>. zm.</w:t>
      </w:r>
      <w:r w:rsidRPr="00EC58DA">
        <w:rPr>
          <w:rFonts w:ascii="Times New Roman" w:hAnsi="Times New Roman" w:cs="Times New Roman"/>
          <w:sz w:val="24"/>
          <w:szCs w:val="24"/>
        </w:rPr>
        <w:t>), zatem nie podlega on notyfikacji.</w:t>
      </w:r>
    </w:p>
    <w:p w14:paraId="0A51AA75" w14:textId="77777777" w:rsidR="00EC58DA" w:rsidRPr="00EC58DA" w:rsidRDefault="00EC58DA" w:rsidP="00545CF5">
      <w:pPr>
        <w:jc w:val="both"/>
        <w:rPr>
          <w:rFonts w:ascii="Times New Roman" w:hAnsi="Times New Roman" w:cs="Times New Roman"/>
          <w:sz w:val="24"/>
          <w:szCs w:val="24"/>
        </w:rPr>
      </w:pPr>
      <w:r w:rsidRPr="00EC58DA">
        <w:rPr>
          <w:rFonts w:ascii="Times New Roman" w:hAnsi="Times New Roman" w:cs="Times New Roman"/>
          <w:sz w:val="24"/>
          <w:szCs w:val="24"/>
        </w:rPr>
        <w:t>Nie jest wymagane przedstawienie projektu właściwym organom i instytucjom Unii Europejskiej, w tym Europejskiemu Bankowi Centralnemu, w celu uzyskania opinii, dokonania powiadomienia, konsultacji albo uzgodnienia.</w:t>
      </w:r>
    </w:p>
    <w:p w14:paraId="33EE5B6C" w14:textId="373CD593" w:rsidR="006E2894" w:rsidRDefault="00EC58DA">
      <w:pPr>
        <w:jc w:val="both"/>
        <w:rPr>
          <w:rFonts w:ascii="Times New Roman" w:hAnsi="Times New Roman" w:cs="Times New Roman"/>
          <w:sz w:val="24"/>
          <w:szCs w:val="24"/>
        </w:rPr>
      </w:pPr>
      <w:r w:rsidRPr="00EC58DA">
        <w:rPr>
          <w:rFonts w:ascii="Times New Roman" w:hAnsi="Times New Roman" w:cs="Times New Roman"/>
          <w:sz w:val="24"/>
          <w:szCs w:val="24"/>
        </w:rPr>
        <w:t>Stosownie do postanowień § 52 ust. 1 uchwały nr 190 Rady Ministrów z dnia 29 października 2013 r. – Regulamin pracy Rady Ministrów (M.P. z 2016 r. poz. 1006</w:t>
      </w:r>
      <w:r w:rsidR="006E49C8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6E49C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6E49C8">
        <w:rPr>
          <w:rFonts w:ascii="Times New Roman" w:hAnsi="Times New Roman" w:cs="Times New Roman"/>
          <w:sz w:val="24"/>
          <w:szCs w:val="24"/>
        </w:rPr>
        <w:t>. zm.</w:t>
      </w:r>
      <w:r w:rsidRPr="00EC58DA">
        <w:rPr>
          <w:rFonts w:ascii="Times New Roman" w:hAnsi="Times New Roman" w:cs="Times New Roman"/>
          <w:sz w:val="24"/>
          <w:szCs w:val="24"/>
        </w:rPr>
        <w:t xml:space="preserve">) i art. 5 ustawy z dnia 7 lipca 2005 r. o działalności lobbingowej w procesie stanowienia prawa (Dz. U. z 2017 r. poz. 248), projekt </w:t>
      </w:r>
      <w:r w:rsidR="009453DB" w:rsidRPr="00EC58DA">
        <w:rPr>
          <w:rFonts w:ascii="Times New Roman" w:hAnsi="Times New Roman" w:cs="Times New Roman"/>
          <w:sz w:val="24"/>
          <w:szCs w:val="24"/>
        </w:rPr>
        <w:t>zosta</w:t>
      </w:r>
      <w:r w:rsidR="009453DB">
        <w:rPr>
          <w:rFonts w:ascii="Times New Roman" w:hAnsi="Times New Roman" w:cs="Times New Roman"/>
          <w:sz w:val="24"/>
          <w:szCs w:val="24"/>
        </w:rPr>
        <w:t>ł</w:t>
      </w:r>
      <w:r w:rsidR="009453DB" w:rsidRPr="00EC58DA">
        <w:rPr>
          <w:rFonts w:ascii="Times New Roman" w:hAnsi="Times New Roman" w:cs="Times New Roman"/>
          <w:sz w:val="24"/>
          <w:szCs w:val="24"/>
        </w:rPr>
        <w:t xml:space="preserve"> </w:t>
      </w:r>
      <w:r w:rsidRPr="00EC58DA">
        <w:rPr>
          <w:rFonts w:ascii="Times New Roman" w:hAnsi="Times New Roman" w:cs="Times New Roman"/>
          <w:sz w:val="24"/>
          <w:szCs w:val="24"/>
        </w:rPr>
        <w:t>udostępniony w Biuletynie Informacji Publicznej na stronie podmiotowej Rządowego Centrum Legislacji w serwisie Rządowy Proces Legislacyjny.</w:t>
      </w:r>
      <w:r w:rsidR="00A74163">
        <w:rPr>
          <w:rFonts w:ascii="Times New Roman" w:hAnsi="Times New Roman" w:cs="Times New Roman"/>
          <w:sz w:val="24"/>
          <w:szCs w:val="24"/>
        </w:rPr>
        <w:tab/>
      </w:r>
    </w:p>
    <w:p w14:paraId="68A25E6F" w14:textId="77777777" w:rsidR="00C81B8A" w:rsidRPr="000F0F97" w:rsidRDefault="00C81B8A" w:rsidP="00C81B8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81B8A" w:rsidRPr="000F0F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A6FB09" w14:textId="77777777" w:rsidR="00230B4B" w:rsidRDefault="00230B4B" w:rsidP="006E2894">
      <w:pPr>
        <w:spacing w:after="0" w:line="240" w:lineRule="auto"/>
      </w:pPr>
      <w:r>
        <w:separator/>
      </w:r>
    </w:p>
  </w:endnote>
  <w:endnote w:type="continuationSeparator" w:id="0">
    <w:p w14:paraId="14530A98" w14:textId="77777777" w:rsidR="00230B4B" w:rsidRDefault="00230B4B" w:rsidP="006E2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uni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26F45A" w14:textId="77777777" w:rsidR="007B4291" w:rsidRDefault="007B429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81483" w14:textId="77777777" w:rsidR="007B4291" w:rsidRDefault="007B429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4D7B3" w14:textId="77777777" w:rsidR="007B4291" w:rsidRDefault="007B42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8AA76D" w14:textId="77777777" w:rsidR="00230B4B" w:rsidRDefault="00230B4B" w:rsidP="006E2894">
      <w:pPr>
        <w:spacing w:after="0" w:line="240" w:lineRule="auto"/>
      </w:pPr>
      <w:r>
        <w:separator/>
      </w:r>
    </w:p>
  </w:footnote>
  <w:footnote w:type="continuationSeparator" w:id="0">
    <w:p w14:paraId="35E7522A" w14:textId="77777777" w:rsidR="00230B4B" w:rsidRDefault="00230B4B" w:rsidP="006E2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F015B4" w14:textId="77777777" w:rsidR="007B4291" w:rsidRDefault="007B429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AD14D" w14:textId="77777777" w:rsidR="007B4291" w:rsidRDefault="007B429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325B7" w14:textId="77777777" w:rsidR="007B4291" w:rsidRDefault="007B429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5C55"/>
    <w:multiLevelType w:val="hybridMultilevel"/>
    <w:tmpl w:val="E1B21CF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83A1B1B"/>
    <w:multiLevelType w:val="hybridMultilevel"/>
    <w:tmpl w:val="5A561AC2"/>
    <w:lvl w:ilvl="0" w:tplc="8B70A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6562D"/>
    <w:multiLevelType w:val="hybridMultilevel"/>
    <w:tmpl w:val="1BF4C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104FE"/>
    <w:multiLevelType w:val="hybridMultilevel"/>
    <w:tmpl w:val="784C5ACA"/>
    <w:lvl w:ilvl="0" w:tplc="4BD23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409FE"/>
    <w:multiLevelType w:val="hybridMultilevel"/>
    <w:tmpl w:val="EA00AA04"/>
    <w:lvl w:ilvl="0" w:tplc="04150011">
      <w:start w:val="1"/>
      <w:numFmt w:val="decimal"/>
      <w:lvlText w:val="%1)"/>
      <w:lvlJc w:val="left"/>
      <w:pPr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877"/>
    <w:rsid w:val="00001E6E"/>
    <w:rsid w:val="000117BA"/>
    <w:rsid w:val="000164D9"/>
    <w:rsid w:val="0002692A"/>
    <w:rsid w:val="00030157"/>
    <w:rsid w:val="00036BB3"/>
    <w:rsid w:val="00045CD1"/>
    <w:rsid w:val="00051EF9"/>
    <w:rsid w:val="00075AE8"/>
    <w:rsid w:val="00080877"/>
    <w:rsid w:val="00086F93"/>
    <w:rsid w:val="00093D93"/>
    <w:rsid w:val="000949C2"/>
    <w:rsid w:val="000B0A60"/>
    <w:rsid w:val="000B2D93"/>
    <w:rsid w:val="000D4E89"/>
    <w:rsid w:val="000E5C49"/>
    <w:rsid w:val="000F040E"/>
    <w:rsid w:val="000F0F97"/>
    <w:rsid w:val="00100EA6"/>
    <w:rsid w:val="0010269B"/>
    <w:rsid w:val="00107E2E"/>
    <w:rsid w:val="001104B3"/>
    <w:rsid w:val="00124CDE"/>
    <w:rsid w:val="0012598C"/>
    <w:rsid w:val="001326D5"/>
    <w:rsid w:val="00133629"/>
    <w:rsid w:val="001528F0"/>
    <w:rsid w:val="0015432D"/>
    <w:rsid w:val="00163F76"/>
    <w:rsid w:val="00172D09"/>
    <w:rsid w:val="00177FDA"/>
    <w:rsid w:val="001840F4"/>
    <w:rsid w:val="00185E2A"/>
    <w:rsid w:val="001A5812"/>
    <w:rsid w:val="001F3D9D"/>
    <w:rsid w:val="002158E7"/>
    <w:rsid w:val="00220615"/>
    <w:rsid w:val="00230B4B"/>
    <w:rsid w:val="002348FB"/>
    <w:rsid w:val="002366DB"/>
    <w:rsid w:val="00243F48"/>
    <w:rsid w:val="00250FB7"/>
    <w:rsid w:val="002865BD"/>
    <w:rsid w:val="00292BCF"/>
    <w:rsid w:val="002950A3"/>
    <w:rsid w:val="002C2DA2"/>
    <w:rsid w:val="002C603E"/>
    <w:rsid w:val="002D5F06"/>
    <w:rsid w:val="002E101E"/>
    <w:rsid w:val="002F44FC"/>
    <w:rsid w:val="0031179A"/>
    <w:rsid w:val="00313CDE"/>
    <w:rsid w:val="0032632E"/>
    <w:rsid w:val="00327F31"/>
    <w:rsid w:val="00357D10"/>
    <w:rsid w:val="003641B2"/>
    <w:rsid w:val="003734F2"/>
    <w:rsid w:val="00396D12"/>
    <w:rsid w:val="003C2DC1"/>
    <w:rsid w:val="003F0C45"/>
    <w:rsid w:val="003F49D8"/>
    <w:rsid w:val="003F4D7C"/>
    <w:rsid w:val="003F63AE"/>
    <w:rsid w:val="0040353E"/>
    <w:rsid w:val="0040403B"/>
    <w:rsid w:val="004058EE"/>
    <w:rsid w:val="00410DF2"/>
    <w:rsid w:val="00420462"/>
    <w:rsid w:val="0043059E"/>
    <w:rsid w:val="004379FC"/>
    <w:rsid w:val="00446145"/>
    <w:rsid w:val="00451464"/>
    <w:rsid w:val="0045366D"/>
    <w:rsid w:val="004609D7"/>
    <w:rsid w:val="00487BA8"/>
    <w:rsid w:val="00491956"/>
    <w:rsid w:val="004B3A65"/>
    <w:rsid w:val="004E4A57"/>
    <w:rsid w:val="004F2164"/>
    <w:rsid w:val="004F5BAC"/>
    <w:rsid w:val="004F7B78"/>
    <w:rsid w:val="005000EF"/>
    <w:rsid w:val="0050280B"/>
    <w:rsid w:val="0052492E"/>
    <w:rsid w:val="00543BF9"/>
    <w:rsid w:val="005458DF"/>
    <w:rsid w:val="00545CF5"/>
    <w:rsid w:val="00555A16"/>
    <w:rsid w:val="00561762"/>
    <w:rsid w:val="005738CD"/>
    <w:rsid w:val="00574AA7"/>
    <w:rsid w:val="00586420"/>
    <w:rsid w:val="00596AD5"/>
    <w:rsid w:val="00597C89"/>
    <w:rsid w:val="005A71EF"/>
    <w:rsid w:val="005C15EF"/>
    <w:rsid w:val="005C319A"/>
    <w:rsid w:val="005C7C45"/>
    <w:rsid w:val="005D1568"/>
    <w:rsid w:val="00604DD0"/>
    <w:rsid w:val="00605784"/>
    <w:rsid w:val="006166EA"/>
    <w:rsid w:val="00624920"/>
    <w:rsid w:val="00646D55"/>
    <w:rsid w:val="0065390B"/>
    <w:rsid w:val="00656E56"/>
    <w:rsid w:val="00661B5A"/>
    <w:rsid w:val="00667046"/>
    <w:rsid w:val="00674A49"/>
    <w:rsid w:val="00695B02"/>
    <w:rsid w:val="006A3590"/>
    <w:rsid w:val="006A45CE"/>
    <w:rsid w:val="006C2A79"/>
    <w:rsid w:val="006E0DCD"/>
    <w:rsid w:val="006E2323"/>
    <w:rsid w:val="006E2894"/>
    <w:rsid w:val="006E49C8"/>
    <w:rsid w:val="006E5C83"/>
    <w:rsid w:val="006F5D48"/>
    <w:rsid w:val="00713090"/>
    <w:rsid w:val="00714912"/>
    <w:rsid w:val="00716587"/>
    <w:rsid w:val="00731380"/>
    <w:rsid w:val="00763356"/>
    <w:rsid w:val="007633E0"/>
    <w:rsid w:val="00770CA1"/>
    <w:rsid w:val="00782E69"/>
    <w:rsid w:val="00786901"/>
    <w:rsid w:val="007B4291"/>
    <w:rsid w:val="007D3814"/>
    <w:rsid w:val="007E47B0"/>
    <w:rsid w:val="007E5C4B"/>
    <w:rsid w:val="008003BE"/>
    <w:rsid w:val="00810430"/>
    <w:rsid w:val="008146E6"/>
    <w:rsid w:val="008244F5"/>
    <w:rsid w:val="00831643"/>
    <w:rsid w:val="0083652A"/>
    <w:rsid w:val="00837FFE"/>
    <w:rsid w:val="008452E1"/>
    <w:rsid w:val="00851BD0"/>
    <w:rsid w:val="008561D9"/>
    <w:rsid w:val="00856BA3"/>
    <w:rsid w:val="00861724"/>
    <w:rsid w:val="00894293"/>
    <w:rsid w:val="008A2DB2"/>
    <w:rsid w:val="008B01C7"/>
    <w:rsid w:val="008D4F9F"/>
    <w:rsid w:val="008D63EC"/>
    <w:rsid w:val="008F128B"/>
    <w:rsid w:val="00902F94"/>
    <w:rsid w:val="00916402"/>
    <w:rsid w:val="00917351"/>
    <w:rsid w:val="0093457A"/>
    <w:rsid w:val="00934DEC"/>
    <w:rsid w:val="009406D0"/>
    <w:rsid w:val="009453DB"/>
    <w:rsid w:val="00956B82"/>
    <w:rsid w:val="00965CAF"/>
    <w:rsid w:val="00971F0C"/>
    <w:rsid w:val="00995310"/>
    <w:rsid w:val="009956C6"/>
    <w:rsid w:val="009A0FA6"/>
    <w:rsid w:val="009A27F5"/>
    <w:rsid w:val="009A6F94"/>
    <w:rsid w:val="009B604D"/>
    <w:rsid w:val="009C041C"/>
    <w:rsid w:val="009C0C9F"/>
    <w:rsid w:val="009C636B"/>
    <w:rsid w:val="009D11B6"/>
    <w:rsid w:val="009E28D2"/>
    <w:rsid w:val="009E4FC5"/>
    <w:rsid w:val="009E5FE4"/>
    <w:rsid w:val="009E6129"/>
    <w:rsid w:val="009F02E6"/>
    <w:rsid w:val="009F20D1"/>
    <w:rsid w:val="009F604E"/>
    <w:rsid w:val="00A0450C"/>
    <w:rsid w:val="00A11C2E"/>
    <w:rsid w:val="00A12B5E"/>
    <w:rsid w:val="00A1433A"/>
    <w:rsid w:val="00A15AC3"/>
    <w:rsid w:val="00A74163"/>
    <w:rsid w:val="00A85CF1"/>
    <w:rsid w:val="00AA2898"/>
    <w:rsid w:val="00AB4852"/>
    <w:rsid w:val="00AC2F98"/>
    <w:rsid w:val="00AD5ED9"/>
    <w:rsid w:val="00AD7B11"/>
    <w:rsid w:val="00AD7EEC"/>
    <w:rsid w:val="00AE7139"/>
    <w:rsid w:val="00AF5236"/>
    <w:rsid w:val="00B000FB"/>
    <w:rsid w:val="00B0567A"/>
    <w:rsid w:val="00B1069D"/>
    <w:rsid w:val="00B108B8"/>
    <w:rsid w:val="00B171BC"/>
    <w:rsid w:val="00B35C36"/>
    <w:rsid w:val="00B41C96"/>
    <w:rsid w:val="00B447C7"/>
    <w:rsid w:val="00B4509C"/>
    <w:rsid w:val="00B5397B"/>
    <w:rsid w:val="00B56260"/>
    <w:rsid w:val="00B61294"/>
    <w:rsid w:val="00B86187"/>
    <w:rsid w:val="00B95663"/>
    <w:rsid w:val="00BA31B7"/>
    <w:rsid w:val="00BA7476"/>
    <w:rsid w:val="00BB43C2"/>
    <w:rsid w:val="00BB6E84"/>
    <w:rsid w:val="00BC524F"/>
    <w:rsid w:val="00BD1E95"/>
    <w:rsid w:val="00BD6191"/>
    <w:rsid w:val="00BE10E4"/>
    <w:rsid w:val="00BF2D2D"/>
    <w:rsid w:val="00C24A06"/>
    <w:rsid w:val="00C362E0"/>
    <w:rsid w:val="00C41344"/>
    <w:rsid w:val="00C51AA7"/>
    <w:rsid w:val="00C559AF"/>
    <w:rsid w:val="00C81B8A"/>
    <w:rsid w:val="00CB41F9"/>
    <w:rsid w:val="00CF3274"/>
    <w:rsid w:val="00D64C82"/>
    <w:rsid w:val="00D722CC"/>
    <w:rsid w:val="00D83B08"/>
    <w:rsid w:val="00D92539"/>
    <w:rsid w:val="00DB2194"/>
    <w:rsid w:val="00DC3157"/>
    <w:rsid w:val="00DD4FDA"/>
    <w:rsid w:val="00DE2B1C"/>
    <w:rsid w:val="00DF4229"/>
    <w:rsid w:val="00DF7A88"/>
    <w:rsid w:val="00E006E1"/>
    <w:rsid w:val="00E00953"/>
    <w:rsid w:val="00E03DED"/>
    <w:rsid w:val="00E12003"/>
    <w:rsid w:val="00E1326F"/>
    <w:rsid w:val="00E17468"/>
    <w:rsid w:val="00E2043B"/>
    <w:rsid w:val="00E223CC"/>
    <w:rsid w:val="00E35FCD"/>
    <w:rsid w:val="00E417D8"/>
    <w:rsid w:val="00E41DEE"/>
    <w:rsid w:val="00E4594B"/>
    <w:rsid w:val="00E5316C"/>
    <w:rsid w:val="00E55DCB"/>
    <w:rsid w:val="00E70432"/>
    <w:rsid w:val="00E902C9"/>
    <w:rsid w:val="00E92B9B"/>
    <w:rsid w:val="00EA4156"/>
    <w:rsid w:val="00EB42BA"/>
    <w:rsid w:val="00EB59B1"/>
    <w:rsid w:val="00EC14AB"/>
    <w:rsid w:val="00EC58DA"/>
    <w:rsid w:val="00ED05B5"/>
    <w:rsid w:val="00EE7381"/>
    <w:rsid w:val="00EF7B4E"/>
    <w:rsid w:val="00F0226D"/>
    <w:rsid w:val="00F402EE"/>
    <w:rsid w:val="00F57715"/>
    <w:rsid w:val="00F65F26"/>
    <w:rsid w:val="00F801FF"/>
    <w:rsid w:val="00F8302B"/>
    <w:rsid w:val="00F93D52"/>
    <w:rsid w:val="00FA7221"/>
    <w:rsid w:val="00FA786C"/>
    <w:rsid w:val="00FB000F"/>
    <w:rsid w:val="00FB2BEA"/>
    <w:rsid w:val="00FC41A9"/>
    <w:rsid w:val="00FD76A8"/>
    <w:rsid w:val="00FE07CF"/>
    <w:rsid w:val="00FF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BA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28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28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2894"/>
    <w:rPr>
      <w:vertAlign w:val="superscript"/>
    </w:rPr>
  </w:style>
  <w:style w:type="paragraph" w:styleId="Akapitzlist">
    <w:name w:val="List Paragraph"/>
    <w:basedOn w:val="Normalny"/>
    <w:uiPriority w:val="34"/>
    <w:qFormat/>
    <w:rsid w:val="00C81B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1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B8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nhideWhenUsed/>
    <w:rsid w:val="00C81B8A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81B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81B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C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CAF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51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1AA7"/>
  </w:style>
  <w:style w:type="paragraph" w:styleId="Stopka">
    <w:name w:val="footer"/>
    <w:basedOn w:val="Normalny"/>
    <w:link w:val="StopkaZnak"/>
    <w:uiPriority w:val="99"/>
    <w:unhideWhenUsed/>
    <w:rsid w:val="00C51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1A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28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28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2894"/>
    <w:rPr>
      <w:vertAlign w:val="superscript"/>
    </w:rPr>
  </w:style>
  <w:style w:type="paragraph" w:styleId="Akapitzlist">
    <w:name w:val="List Paragraph"/>
    <w:basedOn w:val="Normalny"/>
    <w:uiPriority w:val="34"/>
    <w:qFormat/>
    <w:rsid w:val="00C81B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1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B8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nhideWhenUsed/>
    <w:rsid w:val="00C81B8A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81B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81B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C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CAF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51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1AA7"/>
  </w:style>
  <w:style w:type="paragraph" w:styleId="Stopka">
    <w:name w:val="footer"/>
    <w:basedOn w:val="Normalny"/>
    <w:link w:val="StopkaZnak"/>
    <w:uiPriority w:val="99"/>
    <w:unhideWhenUsed/>
    <w:rsid w:val="00C51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1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BC650-4509-4A02-8F10-3F6051E39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1554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2020-09-03T07:01:00Z</dcterms:created>
  <dcterms:modified xsi:type="dcterms:W3CDTF">2020-09-03T07:01:00Z</dcterms:modified>
</cp:coreProperties>
</file>