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89B" w:rsidRPr="00976BA4" w:rsidRDefault="00B3089B" w:rsidP="00B3089B">
      <w:pPr>
        <w:widowControl/>
        <w:spacing w:line="264" w:lineRule="auto"/>
        <w:jc w:val="center"/>
        <w:outlineLvl w:val="0"/>
        <w:rPr>
          <w:rFonts w:cs="Times New Roman"/>
          <w:b/>
          <w:szCs w:val="24"/>
        </w:rPr>
      </w:pPr>
      <w:bookmarkStart w:id="0" w:name="_GoBack"/>
      <w:bookmarkEnd w:id="0"/>
      <w:r w:rsidRPr="00976BA4">
        <w:rPr>
          <w:rFonts w:cs="Times New Roman"/>
          <w:b/>
          <w:szCs w:val="24"/>
        </w:rPr>
        <w:t>Uzasadnienie</w:t>
      </w:r>
    </w:p>
    <w:p w:rsidR="00B3089B" w:rsidRPr="00976BA4" w:rsidRDefault="00B3089B" w:rsidP="00B3089B">
      <w:pPr>
        <w:widowControl/>
        <w:spacing w:line="264" w:lineRule="auto"/>
        <w:jc w:val="center"/>
        <w:rPr>
          <w:rFonts w:cs="Times New Roman"/>
          <w:szCs w:val="24"/>
        </w:rPr>
      </w:pPr>
    </w:p>
    <w:p w:rsidR="00B3089B" w:rsidRPr="00976BA4" w:rsidRDefault="00B3089B" w:rsidP="00B3089B">
      <w:pPr>
        <w:pStyle w:val="Akapitzlist"/>
        <w:numPr>
          <w:ilvl w:val="0"/>
          <w:numId w:val="1"/>
        </w:numPr>
        <w:shd w:val="clear" w:color="auto" w:fill="auto"/>
        <w:tabs>
          <w:tab w:val="left" w:pos="567"/>
        </w:tabs>
        <w:spacing w:before="0" w:line="264" w:lineRule="auto"/>
        <w:ind w:left="567" w:hanging="567"/>
        <w:contextualSpacing/>
        <w:jc w:val="both"/>
        <w:rPr>
          <w:b w:val="0"/>
          <w:sz w:val="24"/>
          <w:szCs w:val="24"/>
        </w:rPr>
      </w:pPr>
      <w:r w:rsidRPr="00976BA4">
        <w:rPr>
          <w:sz w:val="24"/>
          <w:szCs w:val="24"/>
        </w:rPr>
        <w:t>Wyjaśnienie potrzeby i celu nowelizowania rozporządzenia</w:t>
      </w:r>
    </w:p>
    <w:p w:rsidR="00B3089B" w:rsidRPr="00976BA4" w:rsidRDefault="00B3089B" w:rsidP="00B3089B">
      <w:pPr>
        <w:widowControl/>
        <w:spacing w:line="264" w:lineRule="auto"/>
        <w:ind w:left="567"/>
        <w:rPr>
          <w:rFonts w:cs="Times New Roman"/>
          <w:spacing w:val="-2"/>
          <w:szCs w:val="24"/>
        </w:rPr>
      </w:pPr>
      <w:r w:rsidRPr="00976BA4">
        <w:rPr>
          <w:rFonts w:cs="Times New Roman"/>
          <w:bCs/>
          <w:szCs w:val="24"/>
        </w:rPr>
        <w:t xml:space="preserve">Wydane na podstawie art. 59 a ust. 7 ustawy z dnia 3 lipca 2002 r. – Prawo lotnicze (Dz. U. z 2017 r. poz. 959 i 1089) </w:t>
      </w:r>
      <w:r w:rsidRPr="00976BA4">
        <w:rPr>
          <w:rFonts w:cs="Times New Roman"/>
          <w:i/>
          <w:szCs w:val="24"/>
        </w:rPr>
        <w:t xml:space="preserve">rozporządzenie Ministra Transportu, Budownictwa i Gospodarki Morskiej z dnia 21 czerwca 2013 r. w sprawie wymagań technicznych i eksploatacyjnych w stosunku do lotnisk użytku wyłącznego oraz sposobu i trybu przeprowadzania kontroli sprawdzającej </w:t>
      </w:r>
      <w:r w:rsidRPr="00976BA4">
        <w:rPr>
          <w:rFonts w:cs="Times New Roman"/>
          <w:szCs w:val="24"/>
        </w:rPr>
        <w:t>(Dz. U. poz. 741),</w:t>
      </w:r>
      <w:r w:rsidRPr="00976BA4">
        <w:rPr>
          <w:rFonts w:cs="Times New Roman"/>
          <w:i/>
          <w:szCs w:val="24"/>
        </w:rPr>
        <w:t xml:space="preserve"> </w:t>
      </w:r>
      <w:r w:rsidRPr="00976BA4">
        <w:rPr>
          <w:rFonts w:cs="Times New Roman"/>
          <w:szCs w:val="24"/>
        </w:rPr>
        <w:t xml:space="preserve">powinno zostać zmienione w związku z koniecznością wdrożenia </w:t>
      </w:r>
      <w:r w:rsidRPr="00976BA4">
        <w:rPr>
          <w:rFonts w:cs="Times New Roman"/>
          <w:spacing w:val="-2"/>
          <w:szCs w:val="24"/>
        </w:rPr>
        <w:t xml:space="preserve">nowych norm i zalecanych metod postępowania wprowadzonych w ostatnim czasie przez Organizację Międzynarodowego Lotnictwa Cywilnego (ICAO) do Załącznika 14 „Lotniska” (Tom I </w:t>
      </w:r>
      <w:proofErr w:type="spellStart"/>
      <w:r w:rsidRPr="00976BA4">
        <w:rPr>
          <w:rFonts w:cs="Times New Roman"/>
          <w:spacing w:val="-2"/>
          <w:szCs w:val="24"/>
        </w:rPr>
        <w:t>i</w:t>
      </w:r>
      <w:proofErr w:type="spellEnd"/>
      <w:r w:rsidRPr="00976BA4">
        <w:rPr>
          <w:rFonts w:cs="Times New Roman"/>
          <w:spacing w:val="-2"/>
          <w:szCs w:val="24"/>
        </w:rPr>
        <w:t xml:space="preserve"> II) do Konwencji o międzynarodowym lotnictwie cywilnym, sporządzonej w Chicago dnia 7 grudnia 1944 r., zwanego dalej „Załącznikiem 14”.</w:t>
      </w:r>
    </w:p>
    <w:p w:rsidR="00B3089B" w:rsidRPr="00976BA4" w:rsidRDefault="00B3089B" w:rsidP="00B3089B">
      <w:pPr>
        <w:widowControl/>
        <w:spacing w:line="264" w:lineRule="auto"/>
        <w:ind w:left="567"/>
        <w:rPr>
          <w:rFonts w:cs="Times New Roman"/>
          <w:spacing w:val="-2"/>
          <w:szCs w:val="24"/>
        </w:rPr>
      </w:pPr>
      <w:r w:rsidRPr="00976BA4">
        <w:rPr>
          <w:rFonts w:cs="Times New Roman"/>
          <w:spacing w:val="-2"/>
          <w:szCs w:val="24"/>
        </w:rPr>
        <w:t xml:space="preserve">Lotniska użytku wyłącznego, co do zasady, nie podlegają wymaganiom ICAO. Niemniej jednak wymagania dla tych lotnisk określone w niniejszym rozporządzeniu zostały oparte na wieloletnich doświadczeniach międzynarodowych w zakresie projektowania i eksploatacji lotnisk, zawartych w Załączniku 14. </w:t>
      </w:r>
    </w:p>
    <w:p w:rsidR="00B3089B" w:rsidRPr="00976BA4" w:rsidRDefault="00B3089B" w:rsidP="00B3089B">
      <w:pPr>
        <w:widowControl/>
        <w:tabs>
          <w:tab w:val="left" w:pos="4575"/>
        </w:tabs>
        <w:spacing w:line="264" w:lineRule="auto"/>
        <w:ind w:left="567"/>
        <w:rPr>
          <w:rFonts w:cs="Times New Roman"/>
          <w:spacing w:val="-2"/>
          <w:szCs w:val="24"/>
        </w:rPr>
      </w:pPr>
      <w:r w:rsidRPr="00976BA4">
        <w:rPr>
          <w:rFonts w:cs="Times New Roman"/>
          <w:spacing w:val="-2"/>
          <w:szCs w:val="24"/>
        </w:rPr>
        <w:t xml:space="preserve">Ze względu na otrzymywane uwagi od zarządzających lotniskami użytku wyłącznego (bez nawierzchni sztucznej) oraz od użytkowników tych lotnisk, w proponowanych przepisach rozporządzenia uszczegółowiono lub dodano elementy infrastruktury występujące na tych lotniskach, szczególnie w zakresie dróg kołowania i wskaźników kierunku wiatru.  </w:t>
      </w:r>
    </w:p>
    <w:p w:rsidR="00B3089B" w:rsidRPr="00976BA4" w:rsidRDefault="00B3089B" w:rsidP="00B3089B">
      <w:pPr>
        <w:widowControl/>
        <w:spacing w:line="264" w:lineRule="auto"/>
        <w:ind w:left="567"/>
        <w:rPr>
          <w:rFonts w:cs="Times New Roman"/>
          <w:spacing w:val="-2"/>
          <w:szCs w:val="24"/>
        </w:rPr>
      </w:pPr>
      <w:r w:rsidRPr="00976BA4">
        <w:rPr>
          <w:rFonts w:cs="Times New Roman"/>
          <w:spacing w:val="-2"/>
          <w:szCs w:val="24"/>
        </w:rPr>
        <w:t xml:space="preserve">Niniejsze rozporządzenie, podobnie jak rozporządzenie wydawane na podstawie art. 59a ust. 5 </w:t>
      </w:r>
      <w:r w:rsidRPr="00976BA4">
        <w:rPr>
          <w:rFonts w:cs="Times New Roman"/>
          <w:bCs/>
          <w:szCs w:val="24"/>
        </w:rPr>
        <w:t>z dnia 3 lipca 2002 r.</w:t>
      </w:r>
      <w:r w:rsidRPr="00976BA4">
        <w:rPr>
          <w:rFonts w:cs="Times New Roman"/>
          <w:spacing w:val="-2"/>
          <w:szCs w:val="24"/>
        </w:rPr>
        <w:t xml:space="preserve"> – Prawo lotnicze dotyczące lotnisk podlegających obowiązkowi certyfikacji oraz rozporządzenie wydawane na podstawie art. 59a ust. 6 </w:t>
      </w:r>
      <w:r w:rsidRPr="00976BA4">
        <w:rPr>
          <w:rFonts w:cs="Times New Roman"/>
          <w:bCs/>
          <w:szCs w:val="24"/>
        </w:rPr>
        <w:t>z dnia 3 lipca 2002 r.</w:t>
      </w:r>
      <w:r w:rsidRPr="00976BA4">
        <w:rPr>
          <w:rFonts w:cs="Times New Roman"/>
          <w:spacing w:val="-2"/>
          <w:szCs w:val="24"/>
        </w:rPr>
        <w:t xml:space="preserve"> – Prawo lotnicze dotyczące lotnisk o ograniczonej certyfikacji, odnoszą się obecnie do tego samego wydania Załącznika 14 Tom I </w:t>
      </w:r>
      <w:proofErr w:type="spellStart"/>
      <w:r w:rsidRPr="00976BA4">
        <w:rPr>
          <w:rFonts w:cs="Times New Roman"/>
          <w:spacing w:val="-2"/>
          <w:szCs w:val="24"/>
        </w:rPr>
        <w:t>i</w:t>
      </w:r>
      <w:proofErr w:type="spellEnd"/>
      <w:r w:rsidRPr="00976BA4">
        <w:rPr>
          <w:rFonts w:cs="Times New Roman"/>
          <w:spacing w:val="-2"/>
          <w:szCs w:val="24"/>
        </w:rPr>
        <w:t xml:space="preserve"> II, ogłoszonego w Dzienniku Urzędowym Urzędu Lotnictwa Cywilnego. Z tego powodu te trzy rozporządzenia są procedowane równolegle i powinny wejść w życie w tym samym terminie.</w:t>
      </w:r>
    </w:p>
    <w:p w:rsidR="00B3089B" w:rsidRPr="00976BA4" w:rsidRDefault="00B3089B" w:rsidP="00B3089B">
      <w:pPr>
        <w:pStyle w:val="Akapitzlist"/>
        <w:numPr>
          <w:ilvl w:val="0"/>
          <w:numId w:val="1"/>
        </w:numPr>
        <w:shd w:val="clear" w:color="auto" w:fill="auto"/>
        <w:tabs>
          <w:tab w:val="left" w:pos="567"/>
        </w:tabs>
        <w:spacing w:before="360" w:line="264" w:lineRule="auto"/>
        <w:ind w:left="567" w:hanging="567"/>
        <w:contextualSpacing/>
        <w:jc w:val="both"/>
        <w:rPr>
          <w:b w:val="0"/>
          <w:sz w:val="24"/>
          <w:szCs w:val="24"/>
        </w:rPr>
      </w:pPr>
      <w:r w:rsidRPr="00976BA4">
        <w:rPr>
          <w:sz w:val="24"/>
          <w:szCs w:val="24"/>
        </w:rPr>
        <w:t>Przedstawienie rzeczywistego (faktycznego) stanu w dziedzinie, która ma zostać uregulowana</w:t>
      </w:r>
    </w:p>
    <w:p w:rsidR="00B3089B" w:rsidRPr="00976BA4" w:rsidRDefault="00B3089B" w:rsidP="00B3089B">
      <w:pPr>
        <w:widowControl/>
        <w:spacing w:line="264" w:lineRule="auto"/>
        <w:ind w:left="567"/>
        <w:rPr>
          <w:rFonts w:cs="Times New Roman"/>
          <w:szCs w:val="24"/>
        </w:rPr>
      </w:pPr>
      <w:r w:rsidRPr="00976BA4">
        <w:rPr>
          <w:rFonts w:cs="Times New Roman"/>
          <w:i/>
          <w:szCs w:val="24"/>
        </w:rPr>
        <w:t xml:space="preserve">Rozporządzenie Ministra Transportu, Budownictwa i Gospodarki Morskiej z dnia 21 czerwca 2013 r. w sprawie wymagań technicznych i eksploatacyjnych w stosunku do lotnisk użytku wyłącznego oraz sposobu i trybu przeprowadzania kontroli sprawdzającej </w:t>
      </w:r>
      <w:r w:rsidRPr="00976BA4">
        <w:rPr>
          <w:rFonts w:cs="Times New Roman"/>
          <w:szCs w:val="24"/>
        </w:rPr>
        <w:t xml:space="preserve">implementuje do krajowego systemu prawnego te wymagania Załącznika 14, które są niezbędne do bezpiecznego wykonywania operacji lotniczych na tych lotniskach, </w:t>
      </w:r>
      <w:r w:rsidRPr="00976BA4">
        <w:rPr>
          <w:rFonts w:cs="Times New Roman"/>
          <w:bCs/>
          <w:szCs w:val="24"/>
        </w:rPr>
        <w:t>przy uwzględnieniu klasyfikacji lotnisk i rodzaju operacji. Lotniska te zasadniczo są wykorzystywane do użytku prywatnego, lotów szkolnych i rekreacyjnych. Należy pamiętać jednak, że zgodnie art. 54. ust. 5 ustawy Prawo lotnicze, możliwe jest d</w:t>
      </w:r>
      <w:r w:rsidRPr="00976BA4">
        <w:rPr>
          <w:rFonts w:cs="Times New Roman"/>
          <w:szCs w:val="24"/>
        </w:rPr>
        <w:t xml:space="preserve">opuszczenie wykonywania na lotniskach użytku wyłącznego lotów czarterowych śmigłowcami oraz samolotami o maksymalnej masie startowej </w:t>
      </w:r>
      <w:r w:rsidRPr="00976BA4">
        <w:rPr>
          <w:rFonts w:cs="Times New Roman"/>
          <w:szCs w:val="24"/>
        </w:rPr>
        <w:lastRenderedPageBreak/>
        <w:t xml:space="preserve">(MTOM) poniżej 10 000 kg lub o liczbie miejsc pasażerskich poniżej 20, w celu komercyjnego przewozu osób i towarów. Dlatego wymagania dla tych lotnisk nie powinny odbiegać od standardów międzynarodowych. </w:t>
      </w:r>
    </w:p>
    <w:p w:rsidR="00B3089B" w:rsidRPr="00976BA4" w:rsidRDefault="00B3089B" w:rsidP="00B3089B">
      <w:pPr>
        <w:widowControl/>
        <w:spacing w:line="264" w:lineRule="auto"/>
        <w:ind w:left="567"/>
        <w:rPr>
          <w:rFonts w:cs="Times New Roman"/>
          <w:szCs w:val="24"/>
        </w:rPr>
      </w:pPr>
      <w:r w:rsidRPr="00976BA4">
        <w:rPr>
          <w:rFonts w:cs="Times New Roman"/>
          <w:szCs w:val="24"/>
        </w:rPr>
        <w:t>Niniejszy projekt odnosi się do niżej wymienionych wersji Załącznika 14,</w:t>
      </w:r>
      <w:r>
        <w:rPr>
          <w:rFonts w:cs="Times New Roman"/>
          <w:szCs w:val="24"/>
        </w:rPr>
        <w:t xml:space="preserve"> które zostaną</w:t>
      </w:r>
      <w:r w:rsidRPr="00976BA4">
        <w:rPr>
          <w:rFonts w:cs="Times New Roman"/>
          <w:szCs w:val="24"/>
        </w:rPr>
        <w:t xml:space="preserve"> opublikowan</w:t>
      </w:r>
      <w:r>
        <w:rPr>
          <w:rFonts w:cs="Times New Roman"/>
          <w:szCs w:val="24"/>
        </w:rPr>
        <w:t>e</w:t>
      </w:r>
      <w:r w:rsidRPr="00976BA4">
        <w:rPr>
          <w:rFonts w:cs="Times New Roman"/>
          <w:szCs w:val="24"/>
        </w:rPr>
        <w:t xml:space="preserve"> w Dzienniku Urzędowym Prezesa Urzędu Lotnictwa Cywilnego:</w:t>
      </w:r>
    </w:p>
    <w:p w:rsidR="00B3089B" w:rsidRPr="00976BA4" w:rsidRDefault="00B3089B" w:rsidP="00B3089B">
      <w:pPr>
        <w:pStyle w:val="Akapitzlist"/>
        <w:numPr>
          <w:ilvl w:val="0"/>
          <w:numId w:val="3"/>
        </w:numPr>
        <w:shd w:val="clear" w:color="auto" w:fill="auto"/>
        <w:tabs>
          <w:tab w:val="left" w:pos="993"/>
        </w:tabs>
        <w:spacing w:before="0" w:line="264" w:lineRule="auto"/>
        <w:ind w:left="993" w:hanging="426"/>
        <w:jc w:val="both"/>
        <w:rPr>
          <w:sz w:val="24"/>
          <w:szCs w:val="24"/>
        </w:rPr>
      </w:pPr>
      <w:r w:rsidRPr="00976BA4">
        <w:rPr>
          <w:sz w:val="24"/>
          <w:szCs w:val="24"/>
        </w:rPr>
        <w:t>T</w:t>
      </w:r>
      <w:r w:rsidRPr="00976BA4">
        <w:rPr>
          <w:spacing w:val="-2"/>
          <w:sz w:val="24"/>
          <w:szCs w:val="24"/>
        </w:rPr>
        <w:t>om I „Projektowanie i eksploatacja lotnisk" wydanie siódme z lipca 2016 r. obejmujące zmiany od 1 do 13A włącznie (tekst jednolity)</w:t>
      </w:r>
      <w:r w:rsidRPr="00976BA4">
        <w:rPr>
          <w:sz w:val="24"/>
          <w:szCs w:val="24"/>
        </w:rPr>
        <w:t>;</w:t>
      </w:r>
    </w:p>
    <w:p w:rsidR="00B3089B" w:rsidRPr="00976BA4" w:rsidRDefault="00B3089B" w:rsidP="00B3089B">
      <w:pPr>
        <w:pStyle w:val="Akapitzlist"/>
        <w:numPr>
          <w:ilvl w:val="0"/>
          <w:numId w:val="3"/>
        </w:numPr>
        <w:shd w:val="clear" w:color="auto" w:fill="auto"/>
        <w:tabs>
          <w:tab w:val="left" w:pos="993"/>
        </w:tabs>
        <w:spacing w:before="0" w:line="264" w:lineRule="auto"/>
        <w:ind w:left="993" w:hanging="426"/>
        <w:jc w:val="both"/>
        <w:rPr>
          <w:spacing w:val="-2"/>
          <w:sz w:val="24"/>
          <w:szCs w:val="24"/>
        </w:rPr>
      </w:pPr>
      <w:r w:rsidRPr="00976BA4">
        <w:rPr>
          <w:spacing w:val="-2"/>
          <w:sz w:val="24"/>
          <w:szCs w:val="24"/>
        </w:rPr>
        <w:t>Tom II „Lotniska dla śmigłowców" wydanie czwarte z lipca 2013 r. obejmujące zmiany od 1 do 7 włącznie.</w:t>
      </w:r>
    </w:p>
    <w:p w:rsidR="00B3089B" w:rsidRPr="00976BA4" w:rsidRDefault="00B3089B" w:rsidP="00B3089B">
      <w:pPr>
        <w:widowControl/>
        <w:spacing w:line="264" w:lineRule="auto"/>
        <w:ind w:left="567"/>
        <w:rPr>
          <w:rFonts w:cs="Times New Roman"/>
          <w:szCs w:val="24"/>
        </w:rPr>
      </w:pPr>
      <w:r w:rsidRPr="00976BA4">
        <w:rPr>
          <w:rFonts w:cs="Times New Roman"/>
          <w:szCs w:val="24"/>
        </w:rPr>
        <w:t>Niniejszy projekt ma na celu uaktualnienie przedmiotowego rozporządzenia i wdrożenie nowych norm i zaleceń Załącznika 14 wprowadzonych zamianą: nr 11A z dnia 14.11.2013 r, nr 11B z dnia 13.11.2014 r., nr 12 z dnia 13.07.2015 r. i nr 13A z dnia 5.11.2016 do Tomu I „Projektowanie i eksploatacja lotnisk”, oraz zmianą: nr 5 z dnia 14.11.2103, nr 6 z dnia 13.11.2014 r. i nr 7 z dnia 10.11.2016 do Tomu II „Lotniska dla śmigłowców”.</w:t>
      </w:r>
    </w:p>
    <w:p w:rsidR="00B3089B" w:rsidRPr="00976BA4" w:rsidRDefault="00B3089B" w:rsidP="00B3089B">
      <w:pPr>
        <w:pStyle w:val="Akapitzlist"/>
        <w:numPr>
          <w:ilvl w:val="0"/>
          <w:numId w:val="1"/>
        </w:numPr>
        <w:shd w:val="clear" w:color="auto" w:fill="auto"/>
        <w:tabs>
          <w:tab w:val="left" w:pos="567"/>
        </w:tabs>
        <w:spacing w:line="264" w:lineRule="auto"/>
        <w:ind w:left="567" w:hanging="567"/>
        <w:contextualSpacing/>
        <w:jc w:val="both"/>
        <w:rPr>
          <w:b w:val="0"/>
          <w:sz w:val="24"/>
          <w:szCs w:val="24"/>
        </w:rPr>
      </w:pPr>
      <w:r w:rsidRPr="00976BA4">
        <w:rPr>
          <w:sz w:val="24"/>
          <w:szCs w:val="24"/>
        </w:rPr>
        <w:t>Wskazanie różnic pomiędzy dotychczasowym a projektowanym stanem prawnym</w:t>
      </w:r>
    </w:p>
    <w:p w:rsidR="00B3089B" w:rsidRPr="00976BA4" w:rsidRDefault="00B3089B" w:rsidP="00B3089B">
      <w:pPr>
        <w:widowControl/>
        <w:tabs>
          <w:tab w:val="left" w:pos="567"/>
        </w:tabs>
        <w:spacing w:line="264" w:lineRule="auto"/>
        <w:ind w:left="567"/>
        <w:rPr>
          <w:rFonts w:cs="Times New Roman"/>
          <w:spacing w:val="-2"/>
          <w:szCs w:val="24"/>
        </w:rPr>
      </w:pPr>
      <w:r w:rsidRPr="00976BA4">
        <w:rPr>
          <w:rFonts w:cs="Times New Roman"/>
          <w:spacing w:val="-2"/>
          <w:szCs w:val="24"/>
        </w:rPr>
        <w:t>Zmiany nr 11A do Załącznika 14 Tom I wprowadza nowe, niżej wymienione, wymagania dla lotnisk dla samolotów.</w:t>
      </w:r>
    </w:p>
    <w:p w:rsidR="00B3089B" w:rsidRPr="00976BA4" w:rsidRDefault="00B3089B" w:rsidP="00B3089B">
      <w:pPr>
        <w:pStyle w:val="Akapitzlist"/>
        <w:numPr>
          <w:ilvl w:val="0"/>
          <w:numId w:val="4"/>
        </w:numPr>
        <w:shd w:val="clear" w:color="auto" w:fill="auto"/>
        <w:tabs>
          <w:tab w:val="left" w:pos="1134"/>
        </w:tabs>
        <w:spacing w:before="0" w:line="264" w:lineRule="auto"/>
        <w:ind w:left="1134" w:hanging="567"/>
        <w:jc w:val="both"/>
        <w:rPr>
          <w:spacing w:val="-2"/>
          <w:sz w:val="24"/>
          <w:szCs w:val="24"/>
        </w:rPr>
      </w:pPr>
      <w:r w:rsidRPr="00976BA4">
        <w:rPr>
          <w:spacing w:val="-2"/>
          <w:sz w:val="24"/>
          <w:szCs w:val="24"/>
        </w:rPr>
        <w:t>W rozdziale 1 wprowadzono nowe definicje, w tym: miejsca niebezpiecznego, danych kartograficznych lotniska i klasyfikacja spójności oraz drogi startowej przyrządowej i nie przyrządowej; ponadto wymagania dotyczące systemu zarządzania bezpieczeństwem przeniesiono do Załącznika 19 do Konwencji.</w:t>
      </w:r>
    </w:p>
    <w:p w:rsidR="00B3089B" w:rsidRPr="00976BA4" w:rsidRDefault="00B3089B" w:rsidP="00B3089B">
      <w:pPr>
        <w:pStyle w:val="Akapitzlist"/>
        <w:numPr>
          <w:ilvl w:val="0"/>
          <w:numId w:val="4"/>
        </w:numPr>
        <w:shd w:val="clear" w:color="auto" w:fill="auto"/>
        <w:tabs>
          <w:tab w:val="left" w:pos="1134"/>
        </w:tabs>
        <w:spacing w:before="0" w:line="264" w:lineRule="auto"/>
        <w:ind w:left="1134" w:hanging="567"/>
        <w:jc w:val="both"/>
        <w:rPr>
          <w:spacing w:val="-2"/>
          <w:sz w:val="24"/>
          <w:szCs w:val="24"/>
        </w:rPr>
      </w:pPr>
      <w:r w:rsidRPr="00976BA4">
        <w:rPr>
          <w:spacing w:val="-2"/>
          <w:sz w:val="24"/>
          <w:szCs w:val="24"/>
        </w:rPr>
        <w:t>W rozdziale 2 wprowadzono przepisy dotyczące udostępniania danych kartograficznych lotniska oraz zmieniono klasyfikację spójności danych lotniczych; zmieniono kategorię maksymalnego dopuszczalnego ciśnienia w oponach oraz sposób oceny stanu nawierzchni drogi startowej.</w:t>
      </w:r>
    </w:p>
    <w:p w:rsidR="00B3089B" w:rsidRPr="00976BA4" w:rsidRDefault="00B3089B" w:rsidP="00B3089B">
      <w:pPr>
        <w:pStyle w:val="Akapitzlist"/>
        <w:numPr>
          <w:ilvl w:val="0"/>
          <w:numId w:val="4"/>
        </w:numPr>
        <w:shd w:val="clear" w:color="auto" w:fill="auto"/>
        <w:tabs>
          <w:tab w:val="left" w:pos="1134"/>
        </w:tabs>
        <w:spacing w:before="0" w:line="264" w:lineRule="auto"/>
        <w:ind w:left="1134" w:hanging="567"/>
        <w:jc w:val="both"/>
        <w:rPr>
          <w:rFonts w:eastAsiaTheme="minorEastAsia"/>
          <w:sz w:val="24"/>
          <w:szCs w:val="24"/>
        </w:rPr>
      </w:pPr>
      <w:r w:rsidRPr="00976BA4">
        <w:rPr>
          <w:spacing w:val="-2"/>
          <w:sz w:val="24"/>
          <w:szCs w:val="24"/>
        </w:rPr>
        <w:t>W rozdziale 3 zmieniono wymagania dotyczące pomiaru charakterystyki tarcia nawierzchni drogi startowej oraz wymagania dotyczące strefy bezpieczeństwa końca drogi startowej (RESA).</w:t>
      </w:r>
    </w:p>
    <w:p w:rsidR="00B3089B" w:rsidRPr="00976BA4" w:rsidRDefault="00B3089B" w:rsidP="00B3089B">
      <w:pPr>
        <w:pStyle w:val="Akapitzlist"/>
        <w:numPr>
          <w:ilvl w:val="0"/>
          <w:numId w:val="4"/>
        </w:numPr>
        <w:shd w:val="clear" w:color="auto" w:fill="auto"/>
        <w:tabs>
          <w:tab w:val="left" w:pos="1134"/>
        </w:tabs>
        <w:spacing w:before="0" w:line="264" w:lineRule="auto"/>
        <w:ind w:left="1134" w:hanging="567"/>
        <w:jc w:val="both"/>
        <w:rPr>
          <w:spacing w:val="-2"/>
          <w:sz w:val="24"/>
          <w:szCs w:val="24"/>
        </w:rPr>
      </w:pPr>
      <w:r w:rsidRPr="00976BA4">
        <w:rPr>
          <w:spacing w:val="-2"/>
          <w:sz w:val="24"/>
          <w:szCs w:val="24"/>
        </w:rPr>
        <w:t>W rozdziale 5 wprowadzono wymagania dotyczące wzmocnionego oznakowania linii środkowej drogi kołowania, jeśli jest ono zapewniane (</w:t>
      </w:r>
      <w:r w:rsidRPr="00976BA4">
        <w:rPr>
          <w:sz w:val="24"/>
          <w:szCs w:val="24"/>
        </w:rPr>
        <w:t xml:space="preserve">5.2.8.9), </w:t>
      </w:r>
      <w:bookmarkStart w:id="1" w:name="_Toc394315005"/>
      <w:r w:rsidRPr="00976BA4">
        <w:rPr>
          <w:sz w:val="24"/>
          <w:szCs w:val="24"/>
        </w:rPr>
        <w:t>p</w:t>
      </w:r>
      <w:r w:rsidRPr="00976BA4">
        <w:rPr>
          <w:spacing w:val="-2"/>
          <w:sz w:val="24"/>
          <w:szCs w:val="24"/>
        </w:rPr>
        <w:t>rostych świateł strefy przyziemienia</w:t>
      </w:r>
      <w:bookmarkEnd w:id="1"/>
      <w:r w:rsidRPr="00976BA4">
        <w:rPr>
          <w:spacing w:val="-2"/>
          <w:sz w:val="24"/>
          <w:szCs w:val="24"/>
        </w:rPr>
        <w:t xml:space="preserve"> (5.3.14), świateł linii środkowej drogi kołowania (5.3.17.8), poprzeczki zatrzymania (5.3.20.7),  świateł ochronnych drogi startowej w układzie A lub B (5.3.23.2 i 5.3.23.3) </w:t>
      </w:r>
      <w:bookmarkStart w:id="2" w:name="_Toc394344814"/>
      <w:r w:rsidRPr="00976BA4">
        <w:rPr>
          <w:spacing w:val="-2"/>
          <w:sz w:val="24"/>
          <w:szCs w:val="24"/>
        </w:rPr>
        <w:t>oraz poprzeczek zakazu wjazdu</w:t>
      </w:r>
      <w:bookmarkEnd w:id="2"/>
      <w:r w:rsidRPr="00976BA4">
        <w:rPr>
          <w:spacing w:val="-2"/>
          <w:sz w:val="24"/>
          <w:szCs w:val="24"/>
        </w:rPr>
        <w:t xml:space="preserve"> (5.3.29).</w:t>
      </w:r>
    </w:p>
    <w:p w:rsidR="00B3089B" w:rsidRPr="00976BA4" w:rsidRDefault="00B3089B" w:rsidP="00B3089B">
      <w:pPr>
        <w:pStyle w:val="Akapitzlist"/>
        <w:numPr>
          <w:ilvl w:val="0"/>
          <w:numId w:val="4"/>
        </w:numPr>
        <w:shd w:val="clear" w:color="auto" w:fill="auto"/>
        <w:tabs>
          <w:tab w:val="left" w:pos="1134"/>
        </w:tabs>
        <w:spacing w:before="0" w:line="264" w:lineRule="auto"/>
        <w:ind w:left="1134" w:hanging="567"/>
        <w:jc w:val="both"/>
        <w:rPr>
          <w:spacing w:val="-2"/>
          <w:sz w:val="24"/>
          <w:szCs w:val="24"/>
        </w:rPr>
      </w:pPr>
      <w:r w:rsidRPr="00976BA4">
        <w:rPr>
          <w:spacing w:val="-2"/>
          <w:sz w:val="24"/>
          <w:szCs w:val="24"/>
        </w:rPr>
        <w:t>W rozdziale 10 wprowadzono wymagania dotyczące utrzymania nawierzchni drogi startowej i zapewnienia charakterystyki tarcia o minimalnym współczynniku tarcia nawierzchni (</w:t>
      </w:r>
      <w:r w:rsidRPr="00976BA4">
        <w:rPr>
          <w:sz w:val="24"/>
          <w:szCs w:val="24"/>
        </w:rPr>
        <w:t>10.2.3-5)</w:t>
      </w:r>
      <w:r w:rsidRPr="00976BA4">
        <w:rPr>
          <w:spacing w:val="-2"/>
          <w:sz w:val="24"/>
          <w:szCs w:val="24"/>
        </w:rPr>
        <w:t xml:space="preserve"> oraz usuwania zanieczyszczeń z drogi startowej (</w:t>
      </w:r>
      <w:r w:rsidRPr="00976BA4">
        <w:rPr>
          <w:sz w:val="24"/>
          <w:szCs w:val="24"/>
        </w:rPr>
        <w:t>10.3.1, 10.3.4).</w:t>
      </w:r>
    </w:p>
    <w:p w:rsidR="00B3089B" w:rsidRPr="00976BA4" w:rsidRDefault="00B3089B" w:rsidP="00B3089B">
      <w:pPr>
        <w:pStyle w:val="Akapitzlist"/>
        <w:numPr>
          <w:ilvl w:val="0"/>
          <w:numId w:val="4"/>
        </w:numPr>
        <w:shd w:val="clear" w:color="auto" w:fill="auto"/>
        <w:tabs>
          <w:tab w:val="left" w:pos="1134"/>
        </w:tabs>
        <w:spacing w:before="0" w:line="264" w:lineRule="auto"/>
        <w:ind w:left="1134" w:hanging="567"/>
        <w:jc w:val="both"/>
        <w:rPr>
          <w:spacing w:val="-2"/>
          <w:sz w:val="24"/>
          <w:szCs w:val="24"/>
        </w:rPr>
      </w:pPr>
      <w:bookmarkStart w:id="3" w:name="_Toc303693061"/>
      <w:bookmarkStart w:id="4" w:name="_Toc394344869"/>
      <w:r w:rsidRPr="00976BA4">
        <w:rPr>
          <w:spacing w:val="-2"/>
          <w:sz w:val="24"/>
          <w:szCs w:val="24"/>
        </w:rPr>
        <w:t xml:space="preserve">W dodatku 1 określono wymagania </w:t>
      </w:r>
      <w:bookmarkStart w:id="5" w:name="_Toc303693063"/>
      <w:bookmarkStart w:id="6" w:name="_Toc394344871"/>
      <w:bookmarkEnd w:id="3"/>
      <w:bookmarkEnd w:id="4"/>
      <w:r w:rsidRPr="00976BA4">
        <w:rPr>
          <w:spacing w:val="-2"/>
          <w:sz w:val="24"/>
          <w:szCs w:val="24"/>
        </w:rPr>
        <w:t>dla kolorów i chromatyczności naziemnych świateł LED-owych (2.1) stosowanych na lotnisku.</w:t>
      </w:r>
    </w:p>
    <w:p w:rsidR="00B3089B" w:rsidRPr="00976BA4" w:rsidRDefault="00B3089B" w:rsidP="00B3089B">
      <w:pPr>
        <w:pStyle w:val="Akapitzlist"/>
        <w:numPr>
          <w:ilvl w:val="0"/>
          <w:numId w:val="4"/>
        </w:numPr>
        <w:shd w:val="clear" w:color="auto" w:fill="auto"/>
        <w:tabs>
          <w:tab w:val="left" w:pos="1134"/>
        </w:tabs>
        <w:spacing w:before="0" w:line="264" w:lineRule="auto"/>
        <w:ind w:left="1134" w:hanging="567"/>
        <w:jc w:val="both"/>
        <w:rPr>
          <w:sz w:val="24"/>
          <w:szCs w:val="24"/>
        </w:rPr>
      </w:pPr>
      <w:bookmarkStart w:id="7" w:name="_Toc303693071"/>
      <w:bookmarkStart w:id="8" w:name="_Toc394344878"/>
      <w:bookmarkEnd w:id="5"/>
      <w:bookmarkEnd w:id="6"/>
      <w:r w:rsidRPr="00976BA4">
        <w:rPr>
          <w:spacing w:val="-2"/>
          <w:sz w:val="24"/>
          <w:szCs w:val="24"/>
        </w:rPr>
        <w:lastRenderedPageBreak/>
        <w:t xml:space="preserve">W załączniku A zmieniono znacznie wskazówki merytoryczne </w:t>
      </w:r>
      <w:bookmarkEnd w:id="7"/>
      <w:bookmarkEnd w:id="8"/>
      <w:r w:rsidRPr="00976BA4">
        <w:rPr>
          <w:spacing w:val="-2"/>
          <w:sz w:val="24"/>
          <w:szCs w:val="24"/>
        </w:rPr>
        <w:t>dotyczące:</w:t>
      </w:r>
    </w:p>
    <w:p w:rsidR="00B3089B" w:rsidRPr="00976BA4" w:rsidRDefault="00B3089B" w:rsidP="00B3089B">
      <w:pPr>
        <w:pStyle w:val="Akapitzlist"/>
        <w:numPr>
          <w:ilvl w:val="0"/>
          <w:numId w:val="2"/>
        </w:numPr>
        <w:shd w:val="clear" w:color="auto" w:fill="auto"/>
        <w:tabs>
          <w:tab w:val="left" w:pos="1701"/>
        </w:tabs>
        <w:spacing w:before="0" w:line="264" w:lineRule="auto"/>
        <w:ind w:left="1701" w:hanging="567"/>
        <w:jc w:val="both"/>
        <w:rPr>
          <w:spacing w:val="-2"/>
          <w:sz w:val="24"/>
          <w:szCs w:val="24"/>
        </w:rPr>
      </w:pPr>
      <w:r w:rsidRPr="00976BA4">
        <w:rPr>
          <w:spacing w:val="-2"/>
          <w:sz w:val="24"/>
          <w:szCs w:val="24"/>
        </w:rPr>
        <w:t>oceny charakterystyk tarcia nawierzchni sztucznych pokrytych warstwą śniegu, błota pośniegowego, lodem i szronem (Sekcja 6),</w:t>
      </w:r>
    </w:p>
    <w:p w:rsidR="00B3089B" w:rsidRPr="00976BA4" w:rsidRDefault="00B3089B" w:rsidP="00B3089B">
      <w:pPr>
        <w:pStyle w:val="Akapitzlist"/>
        <w:numPr>
          <w:ilvl w:val="0"/>
          <w:numId w:val="2"/>
        </w:numPr>
        <w:shd w:val="clear" w:color="auto" w:fill="auto"/>
        <w:tabs>
          <w:tab w:val="left" w:pos="1701"/>
        </w:tabs>
        <w:spacing w:before="0" w:line="264" w:lineRule="auto"/>
        <w:ind w:left="1701" w:hanging="567"/>
        <w:jc w:val="both"/>
        <w:rPr>
          <w:spacing w:val="-2"/>
          <w:sz w:val="24"/>
          <w:szCs w:val="24"/>
        </w:rPr>
      </w:pPr>
      <w:r w:rsidRPr="00976BA4">
        <w:rPr>
          <w:spacing w:val="-2"/>
          <w:sz w:val="24"/>
          <w:szCs w:val="24"/>
        </w:rPr>
        <w:t>określania charakterystyk tarcia nawierzchni dla celów konstrukcyjnych i naprawczych (budowy i eksploatacji) (Sekcja 7),</w:t>
      </w:r>
    </w:p>
    <w:p w:rsidR="00B3089B" w:rsidRPr="00976BA4" w:rsidRDefault="00B3089B" w:rsidP="00B3089B">
      <w:pPr>
        <w:pStyle w:val="Akapitzlist"/>
        <w:numPr>
          <w:ilvl w:val="0"/>
          <w:numId w:val="2"/>
        </w:numPr>
        <w:shd w:val="clear" w:color="auto" w:fill="auto"/>
        <w:tabs>
          <w:tab w:val="left" w:pos="1701"/>
        </w:tabs>
        <w:spacing w:before="0" w:line="264" w:lineRule="auto"/>
        <w:ind w:left="1701" w:hanging="567"/>
        <w:jc w:val="both"/>
        <w:rPr>
          <w:spacing w:val="-2"/>
          <w:sz w:val="24"/>
          <w:szCs w:val="24"/>
        </w:rPr>
      </w:pPr>
      <w:r w:rsidRPr="00976BA4">
        <w:rPr>
          <w:spacing w:val="-2"/>
          <w:sz w:val="24"/>
          <w:szCs w:val="24"/>
        </w:rPr>
        <w:t>charakterystyk dotyczących odprowadzania wody z pola ruchu naziemnego i obszarów przylegających (Sekcja 8),</w:t>
      </w:r>
    </w:p>
    <w:p w:rsidR="00B3089B" w:rsidRPr="00976BA4" w:rsidRDefault="00B3089B" w:rsidP="00B3089B">
      <w:pPr>
        <w:pStyle w:val="Akapitzlist"/>
        <w:numPr>
          <w:ilvl w:val="0"/>
          <w:numId w:val="2"/>
        </w:numPr>
        <w:shd w:val="clear" w:color="auto" w:fill="auto"/>
        <w:tabs>
          <w:tab w:val="left" w:pos="1701"/>
        </w:tabs>
        <w:spacing w:before="0" w:line="264" w:lineRule="auto"/>
        <w:ind w:left="1701" w:hanging="567"/>
        <w:contextualSpacing/>
        <w:jc w:val="both"/>
        <w:rPr>
          <w:spacing w:val="-2"/>
          <w:sz w:val="24"/>
          <w:szCs w:val="24"/>
        </w:rPr>
      </w:pPr>
      <w:r w:rsidRPr="00976BA4">
        <w:rPr>
          <w:spacing w:val="-2"/>
          <w:sz w:val="24"/>
          <w:szCs w:val="24"/>
        </w:rPr>
        <w:t>strefy bezpieczeństwa końca drogi startowej (RESA) (Sekcja 10).</w:t>
      </w:r>
    </w:p>
    <w:p w:rsidR="00B3089B" w:rsidRPr="00976BA4" w:rsidRDefault="00B3089B" w:rsidP="00B3089B">
      <w:pPr>
        <w:widowControl/>
        <w:tabs>
          <w:tab w:val="left" w:pos="567"/>
        </w:tabs>
        <w:spacing w:line="264" w:lineRule="auto"/>
        <w:ind w:left="567"/>
        <w:rPr>
          <w:rFonts w:cs="Times New Roman"/>
          <w:spacing w:val="-2"/>
          <w:szCs w:val="24"/>
        </w:rPr>
      </w:pPr>
      <w:r w:rsidRPr="00976BA4">
        <w:rPr>
          <w:rFonts w:cs="Times New Roman"/>
          <w:spacing w:val="-2"/>
          <w:szCs w:val="24"/>
        </w:rPr>
        <w:t>Zmiana 11B do Załącznika 14 Tom I dotyczy przede wszystkim poprawionych definicji drogi startowej z podejściem nieprecyzyjnym i z podejściem precyzyjnym w związku z nową klasyfikacją podejścia do lądowania.</w:t>
      </w:r>
    </w:p>
    <w:p w:rsidR="00B3089B" w:rsidRPr="00976BA4" w:rsidRDefault="00B3089B" w:rsidP="00B3089B">
      <w:pPr>
        <w:widowControl/>
        <w:tabs>
          <w:tab w:val="left" w:pos="567"/>
        </w:tabs>
        <w:spacing w:line="264" w:lineRule="auto"/>
        <w:ind w:left="567"/>
        <w:rPr>
          <w:rFonts w:cs="Times New Roman"/>
          <w:iCs/>
          <w:szCs w:val="24"/>
        </w:rPr>
      </w:pPr>
      <w:r w:rsidRPr="00976BA4">
        <w:rPr>
          <w:rFonts w:cs="Times New Roman"/>
          <w:spacing w:val="-2"/>
          <w:szCs w:val="24"/>
        </w:rPr>
        <w:t xml:space="preserve">Zmiana 12 do Załącznika 14 Tom I, dotyczy </w:t>
      </w:r>
      <w:r w:rsidRPr="00976BA4">
        <w:rPr>
          <w:rFonts w:cs="Times New Roman"/>
          <w:szCs w:val="24"/>
        </w:rPr>
        <w:t xml:space="preserve">wdrożenia nowego </w:t>
      </w:r>
      <w:r w:rsidRPr="00976BA4">
        <w:rPr>
          <w:rFonts w:cs="Times New Roman"/>
          <w:spacing w:val="-2"/>
          <w:szCs w:val="24"/>
        </w:rPr>
        <w:t>podręcznika</w:t>
      </w:r>
      <w:r w:rsidRPr="00976BA4">
        <w:rPr>
          <w:rFonts w:cs="Times New Roman"/>
          <w:szCs w:val="24"/>
        </w:rPr>
        <w:t xml:space="preserve"> ICAO, tj.: </w:t>
      </w:r>
      <w:r w:rsidRPr="00976BA4">
        <w:rPr>
          <w:rFonts w:cs="Times New Roman"/>
          <w:i/>
          <w:iCs/>
          <w:szCs w:val="24"/>
        </w:rPr>
        <w:t>„Procedury służb żeglugi powietrznej — Lotniska</w:t>
      </w:r>
      <w:r w:rsidRPr="00976BA4">
        <w:rPr>
          <w:rFonts w:cs="Times New Roman"/>
          <w:szCs w:val="24"/>
        </w:rPr>
        <w:t>” (</w:t>
      </w:r>
      <w:r w:rsidRPr="00976BA4">
        <w:rPr>
          <w:rFonts w:cs="Times New Roman"/>
          <w:i/>
          <w:iCs/>
          <w:szCs w:val="24"/>
        </w:rPr>
        <w:t>PANS-</w:t>
      </w:r>
      <w:proofErr w:type="spellStart"/>
      <w:r w:rsidRPr="00976BA4">
        <w:rPr>
          <w:rFonts w:cs="Times New Roman"/>
          <w:i/>
          <w:iCs/>
          <w:szCs w:val="24"/>
        </w:rPr>
        <w:t>Aerodromes</w:t>
      </w:r>
      <w:proofErr w:type="spellEnd"/>
      <w:r w:rsidRPr="00976BA4">
        <w:rPr>
          <w:rFonts w:cs="Times New Roman"/>
          <w:i/>
          <w:iCs/>
          <w:szCs w:val="24"/>
        </w:rPr>
        <w:t xml:space="preserve">) </w:t>
      </w:r>
      <w:proofErr w:type="spellStart"/>
      <w:r w:rsidRPr="00976BA4">
        <w:rPr>
          <w:rFonts w:cs="Times New Roman"/>
          <w:i/>
          <w:iCs/>
          <w:szCs w:val="24"/>
        </w:rPr>
        <w:t>Doc</w:t>
      </w:r>
      <w:proofErr w:type="spellEnd"/>
      <w:r w:rsidRPr="00976BA4">
        <w:rPr>
          <w:rFonts w:cs="Times New Roman"/>
          <w:i/>
          <w:iCs/>
          <w:szCs w:val="24"/>
        </w:rPr>
        <w:t xml:space="preserve"> 9981.</w:t>
      </w:r>
      <w:r w:rsidRPr="00976BA4">
        <w:rPr>
          <w:rFonts w:cs="Times New Roman"/>
          <w:iCs/>
          <w:szCs w:val="24"/>
        </w:rPr>
        <w:t xml:space="preserve"> Podręcznik ten nie został wprowadzony przez ICAO jako obowiązkowa norma (Rozdział 1, podrozdział 1.7) dlatego będzie traktowany, jako materiał informacyjny zalecany do stosowania na lotniskach.</w:t>
      </w:r>
    </w:p>
    <w:p w:rsidR="00B3089B" w:rsidRPr="00976BA4" w:rsidRDefault="00B3089B" w:rsidP="00B3089B">
      <w:pPr>
        <w:widowControl/>
        <w:tabs>
          <w:tab w:val="left" w:pos="567"/>
        </w:tabs>
        <w:spacing w:line="264" w:lineRule="auto"/>
        <w:ind w:left="567"/>
        <w:rPr>
          <w:rFonts w:cs="Times New Roman"/>
          <w:iCs/>
          <w:szCs w:val="24"/>
        </w:rPr>
      </w:pPr>
      <w:r w:rsidRPr="00976BA4">
        <w:rPr>
          <w:rFonts w:cs="Times New Roman"/>
          <w:iCs/>
          <w:szCs w:val="24"/>
        </w:rPr>
        <w:t xml:space="preserve">Zmiana 13A </w:t>
      </w:r>
      <w:r w:rsidRPr="00976BA4">
        <w:rPr>
          <w:rFonts w:cs="Times New Roman"/>
          <w:spacing w:val="-2"/>
          <w:szCs w:val="24"/>
        </w:rPr>
        <w:t>do Załącznika 14 Tom I</w:t>
      </w:r>
      <w:r w:rsidRPr="00976BA4">
        <w:rPr>
          <w:rFonts w:cs="Times New Roman"/>
          <w:iCs/>
          <w:szCs w:val="24"/>
        </w:rPr>
        <w:t xml:space="preserve"> wprowadza wymagania dotyczące: systemu zatrzymywania samolotów; autonomicznego systemu ostrzegania o nieuprawnionych wtargnięciach na drogę startową (ARIWS); zbiorników na wodę burzową na pasach drogi startowej i drogi kołowania; strefy podmuchów; zmniejszonych odległości drogi kołowania i linii środkowej drogi kołowania; odległości na stanowiskach postojowych statków powietrznych; projektowania drogi kołowania w celu zapobiegania nieuprawnionym wtargnięciom na drogę startową; charakterystyki i specyfikacji kolorów dla świateł LED; objaśnienia dotyczące dystrybucji intensywności świateł; lokalizacji powierzchni zabezpieczenia przeszkodowego PAPI; oznakowania poziomego nakazu i informacyjnego; instalacji urządzeń zabezpieczających przed FOD. Określa także wytyczne dotyczące nierówności nawierzchni drogi startowej, projektowania drogi kołowania dla zminimalizowania możliwości nieuprawnionych wtargnięć na drogę startową oraz danych kartograficznych lotniska. Część tych wymagań nie dotyczy lotnisk użytku wyłącznego dlatego została wyłączona ze stosowania </w:t>
      </w:r>
      <w:r w:rsidRPr="00416AEF">
        <w:rPr>
          <w:rFonts w:cs="Times New Roman"/>
          <w:iCs/>
          <w:szCs w:val="24"/>
        </w:rPr>
        <w:t>(</w:t>
      </w:r>
      <w:r w:rsidRPr="003E4F2E">
        <w:rPr>
          <w:rFonts w:cs="Times New Roman"/>
          <w:iCs/>
          <w:szCs w:val="24"/>
        </w:rPr>
        <w:t>§ 3</w:t>
      </w:r>
      <w:r w:rsidRPr="00976BA4">
        <w:rPr>
          <w:rFonts w:cs="Times New Roman"/>
          <w:iCs/>
          <w:szCs w:val="24"/>
        </w:rPr>
        <w:t xml:space="preserve"> ust. 1), natomiast inne, które mogłyby generować koszty dla zarządzających lotniskami zostały objęte okresem przejściowym do 2020 roku.</w:t>
      </w:r>
    </w:p>
    <w:p w:rsidR="00B3089B" w:rsidRPr="00976BA4" w:rsidRDefault="00B3089B" w:rsidP="00B3089B">
      <w:pPr>
        <w:widowControl/>
        <w:tabs>
          <w:tab w:val="left" w:pos="567"/>
        </w:tabs>
        <w:spacing w:line="264" w:lineRule="auto"/>
        <w:ind w:left="567"/>
        <w:rPr>
          <w:rFonts w:cs="Times New Roman"/>
          <w:spacing w:val="-2"/>
          <w:szCs w:val="24"/>
        </w:rPr>
      </w:pPr>
      <w:r w:rsidRPr="00976BA4">
        <w:rPr>
          <w:rFonts w:cs="Times New Roman"/>
          <w:spacing w:val="-2"/>
          <w:szCs w:val="24"/>
        </w:rPr>
        <w:t>Zmiana</w:t>
      </w:r>
      <w:r w:rsidRPr="00976BA4">
        <w:rPr>
          <w:rFonts w:cs="Times New Roman"/>
          <w:szCs w:val="24"/>
        </w:rPr>
        <w:t xml:space="preserve"> nr 5 </w:t>
      </w:r>
      <w:r w:rsidRPr="00976BA4">
        <w:rPr>
          <w:rFonts w:cs="Times New Roman"/>
          <w:spacing w:val="-2"/>
          <w:szCs w:val="24"/>
        </w:rPr>
        <w:t>do Załącznika 14 Tom II dotyczy min. następujących wymagań dla lotnisk dla śmigłowców:</w:t>
      </w:r>
    </w:p>
    <w:p w:rsidR="00B3089B" w:rsidRPr="00976BA4" w:rsidRDefault="00B3089B" w:rsidP="00B3089B">
      <w:pPr>
        <w:pStyle w:val="Akapitzlist"/>
        <w:numPr>
          <w:ilvl w:val="0"/>
          <w:numId w:val="5"/>
        </w:numPr>
        <w:shd w:val="clear" w:color="auto" w:fill="auto"/>
        <w:tabs>
          <w:tab w:val="left" w:pos="1134"/>
        </w:tabs>
        <w:spacing w:before="0" w:line="264" w:lineRule="auto"/>
        <w:ind w:left="1134" w:hanging="567"/>
        <w:jc w:val="both"/>
        <w:rPr>
          <w:spacing w:val="-2"/>
          <w:sz w:val="24"/>
          <w:szCs w:val="24"/>
        </w:rPr>
      </w:pPr>
      <w:r w:rsidRPr="00976BA4">
        <w:rPr>
          <w:spacing w:val="-2"/>
          <w:sz w:val="24"/>
          <w:szCs w:val="24"/>
        </w:rPr>
        <w:t>nowe definicje: trasy kołowania śmigłowca, lotniska dla śmigłowców na platformie, wysokości lotniska dla śmigłowców, klasyfikacji spójności danych lotniczych, podejście typu „punkt w przestrzeni”, drogi startowej typu FATO i lotniska dla śmigłowców na powierzchni płaskiej,</w:t>
      </w:r>
    </w:p>
    <w:p w:rsidR="00B3089B" w:rsidRPr="00976BA4" w:rsidRDefault="00B3089B" w:rsidP="00B3089B">
      <w:pPr>
        <w:pStyle w:val="Akapitzlist"/>
        <w:numPr>
          <w:ilvl w:val="0"/>
          <w:numId w:val="5"/>
        </w:numPr>
        <w:shd w:val="clear" w:color="auto" w:fill="auto"/>
        <w:tabs>
          <w:tab w:val="left" w:pos="1134"/>
        </w:tabs>
        <w:spacing w:before="0" w:line="264" w:lineRule="auto"/>
        <w:ind w:left="1134" w:hanging="567"/>
        <w:jc w:val="both"/>
        <w:rPr>
          <w:spacing w:val="-2"/>
          <w:sz w:val="24"/>
          <w:szCs w:val="24"/>
        </w:rPr>
      </w:pPr>
      <w:r w:rsidRPr="00976BA4">
        <w:rPr>
          <w:spacing w:val="-2"/>
          <w:sz w:val="24"/>
          <w:szCs w:val="24"/>
        </w:rPr>
        <w:t>jakość i spójność danych lotniczych, charakterystyki fizyczne lotniska dla śmigłowców na platformie i na jednostce pływającej,</w:t>
      </w:r>
    </w:p>
    <w:p w:rsidR="00B3089B" w:rsidRPr="00976BA4" w:rsidRDefault="00B3089B" w:rsidP="00B3089B">
      <w:pPr>
        <w:pStyle w:val="Akapitzlist"/>
        <w:numPr>
          <w:ilvl w:val="0"/>
          <w:numId w:val="5"/>
        </w:numPr>
        <w:shd w:val="clear" w:color="auto" w:fill="auto"/>
        <w:tabs>
          <w:tab w:val="left" w:pos="1134"/>
        </w:tabs>
        <w:spacing w:before="0" w:line="264" w:lineRule="auto"/>
        <w:ind w:left="1134" w:hanging="567"/>
        <w:jc w:val="both"/>
        <w:rPr>
          <w:spacing w:val="-2"/>
          <w:sz w:val="24"/>
          <w:szCs w:val="24"/>
        </w:rPr>
      </w:pPr>
      <w:r w:rsidRPr="00976BA4">
        <w:rPr>
          <w:spacing w:val="-2"/>
          <w:sz w:val="24"/>
          <w:szCs w:val="24"/>
        </w:rPr>
        <w:lastRenderedPageBreak/>
        <w:t>środowisko przeszkód lotniczych, w tym wymagania dotyczące powierzchni ograniczających przeszkody oraz dla obszarów i sektorów,</w:t>
      </w:r>
    </w:p>
    <w:p w:rsidR="00B3089B" w:rsidRPr="00976BA4" w:rsidRDefault="00B3089B" w:rsidP="00B3089B">
      <w:pPr>
        <w:pStyle w:val="Akapitzlist"/>
        <w:numPr>
          <w:ilvl w:val="0"/>
          <w:numId w:val="5"/>
        </w:numPr>
        <w:shd w:val="clear" w:color="auto" w:fill="auto"/>
        <w:tabs>
          <w:tab w:val="left" w:pos="1134"/>
        </w:tabs>
        <w:spacing w:before="0" w:line="264" w:lineRule="auto"/>
        <w:ind w:left="1134" w:hanging="567"/>
        <w:jc w:val="both"/>
        <w:rPr>
          <w:spacing w:val="-2"/>
          <w:sz w:val="24"/>
          <w:szCs w:val="24"/>
        </w:rPr>
      </w:pPr>
      <w:r w:rsidRPr="00976BA4">
        <w:rPr>
          <w:spacing w:val="-2"/>
          <w:sz w:val="24"/>
          <w:szCs w:val="24"/>
        </w:rPr>
        <w:t>pomoce wzrokowe, w tym: oznakowanie obszaru pracy wyciągarki, oznakowanie identyfikacyjne lotniska dla śmigłowców, oznakowanie maksymalnej dopuszczalnej masy, oznakowanie wartości - D, oznakowanie wymiarów FATO, oznakowanie i oznaczniki obwodu FATO dla lotnisk dla śmigłowców na powierzchni płaskiej, oznakowanie punktu celowania, oznakowanie punktu przyziemienia/postoju, oznakowanie nazwy lotniska dla śmigłowców, oznakowanie sektora wolnego od przeszkód na lotnisku dla śmigłowców na platformie (</w:t>
      </w:r>
      <w:proofErr w:type="spellStart"/>
      <w:r w:rsidRPr="00976BA4">
        <w:rPr>
          <w:spacing w:val="-2"/>
          <w:sz w:val="24"/>
          <w:szCs w:val="24"/>
        </w:rPr>
        <w:t>chevron</w:t>
      </w:r>
      <w:proofErr w:type="spellEnd"/>
      <w:r w:rsidRPr="00976BA4">
        <w:rPr>
          <w:spacing w:val="-2"/>
          <w:sz w:val="24"/>
          <w:szCs w:val="24"/>
        </w:rPr>
        <w:t xml:space="preserve">), oznakowanie nawierzchni lotniska dla śmigłowców na platformie i na jednostce pływającej, oznakowanie sektora, na którym nie wolno lądować na lotniskach na platformie, oznakowanie i oznaczniki dróg kołowania śmigłowców po ziemi, oznakowanie i oznaczniki dróg kołowania śmigłowców w powietrzu, oznakowanie stanowisk postojowych dla śmigłowców, wzrokowy wskaźnik ścieżki podejścia, </w:t>
      </w:r>
    </w:p>
    <w:p w:rsidR="00B3089B" w:rsidRPr="00976BA4" w:rsidRDefault="00B3089B" w:rsidP="00B3089B">
      <w:pPr>
        <w:pStyle w:val="Akapitzlist"/>
        <w:numPr>
          <w:ilvl w:val="0"/>
          <w:numId w:val="5"/>
        </w:numPr>
        <w:shd w:val="clear" w:color="auto" w:fill="auto"/>
        <w:tabs>
          <w:tab w:val="left" w:pos="1134"/>
        </w:tabs>
        <w:spacing w:before="0" w:line="264" w:lineRule="auto"/>
        <w:ind w:left="1134" w:hanging="567"/>
        <w:jc w:val="both"/>
        <w:rPr>
          <w:spacing w:val="-2"/>
          <w:sz w:val="24"/>
          <w:szCs w:val="24"/>
        </w:rPr>
      </w:pPr>
      <w:r w:rsidRPr="00976BA4">
        <w:rPr>
          <w:spacing w:val="-2"/>
          <w:sz w:val="24"/>
          <w:szCs w:val="24"/>
        </w:rPr>
        <w:t>wprowadzono Dodatek 2 „Międzynarodowe normy i zalecane metody postępowania dla przyrządowych lotnisk dla śmigłowców z podejściem nieprecyzyjnym i/lub precyzyjnym i odlotami według wskazań przyrządów”.</w:t>
      </w:r>
    </w:p>
    <w:p w:rsidR="00B3089B" w:rsidRPr="00976BA4" w:rsidRDefault="00B3089B" w:rsidP="00B3089B">
      <w:pPr>
        <w:widowControl/>
        <w:tabs>
          <w:tab w:val="left" w:pos="567"/>
        </w:tabs>
        <w:spacing w:line="264" w:lineRule="auto"/>
        <w:ind w:left="567"/>
        <w:rPr>
          <w:rFonts w:cs="Times New Roman"/>
          <w:szCs w:val="24"/>
        </w:rPr>
      </w:pPr>
      <w:r w:rsidRPr="00976BA4">
        <w:rPr>
          <w:rFonts w:cs="Times New Roman"/>
          <w:szCs w:val="24"/>
        </w:rPr>
        <w:t>Z</w:t>
      </w:r>
      <w:r w:rsidRPr="00976BA4">
        <w:rPr>
          <w:rFonts w:cs="Times New Roman"/>
          <w:spacing w:val="-2"/>
          <w:szCs w:val="24"/>
        </w:rPr>
        <w:t>miana</w:t>
      </w:r>
      <w:r w:rsidRPr="00976BA4">
        <w:rPr>
          <w:rFonts w:cs="Times New Roman"/>
          <w:szCs w:val="24"/>
        </w:rPr>
        <w:t xml:space="preserve"> nr 6 do Załącznika 14, Tom II poprawia definicję dotyczącą punktu referencyjnego lotniska dla śmigłowców i miejsca lądowania oraz wymagania dotyczące danych lotniczych lotniska dla śmigłowców, a także znacznej mierze zmienia „Wymagania dotyczące jakości danych lotniczych” zawarte w Dodatku 1.</w:t>
      </w:r>
    </w:p>
    <w:p w:rsidR="00B3089B" w:rsidRPr="00976BA4" w:rsidRDefault="00B3089B" w:rsidP="00B3089B">
      <w:pPr>
        <w:widowControl/>
        <w:tabs>
          <w:tab w:val="left" w:pos="567"/>
        </w:tabs>
        <w:spacing w:line="264" w:lineRule="auto"/>
        <w:ind w:left="567"/>
        <w:rPr>
          <w:rFonts w:cs="Times New Roman"/>
          <w:iCs/>
          <w:szCs w:val="24"/>
        </w:rPr>
      </w:pPr>
      <w:r w:rsidRPr="00976BA4">
        <w:rPr>
          <w:rFonts w:cs="Times New Roman"/>
          <w:szCs w:val="24"/>
        </w:rPr>
        <w:t>Zmiana nr 7 do Załącznika 14 Tom II</w:t>
      </w:r>
      <w:r w:rsidRPr="00976BA4">
        <w:rPr>
          <w:rFonts w:cs="Times New Roman"/>
          <w:spacing w:val="-2"/>
          <w:szCs w:val="24"/>
        </w:rPr>
        <w:t xml:space="preserve"> dotyczy: usunięcia zbędnych definicji; wysokość obiektów w sektorze wolnym od przeszkód lotnisk dla śmigłowców na platformie i na statkach; znak identyfikacji lotniska dla śmigłowców; planowanie działań w sytuacjach zagrożenia na lotnisku dla śmigłowców. </w:t>
      </w:r>
      <w:r w:rsidRPr="00976BA4">
        <w:rPr>
          <w:rFonts w:cs="Times New Roman"/>
          <w:iCs/>
          <w:szCs w:val="24"/>
        </w:rPr>
        <w:t>Część tych wymagań nie dotyczy lotnisk użytku wyłącznego dlatego została wyłączona ze stosowania (</w:t>
      </w:r>
      <w:r w:rsidRPr="00976BA4">
        <w:t>§ 34</w:t>
      </w:r>
      <w:r w:rsidRPr="00976BA4">
        <w:rPr>
          <w:rFonts w:cs="Times New Roman"/>
          <w:iCs/>
          <w:szCs w:val="24"/>
        </w:rPr>
        <w:t xml:space="preserve">), natomiast inne, które mogłyby generować koszty dla zarządzających lotniskami zostały objęte okresem przejściowym do </w:t>
      </w:r>
      <w:r>
        <w:rPr>
          <w:rFonts w:cs="Times New Roman"/>
          <w:iCs/>
          <w:szCs w:val="24"/>
        </w:rPr>
        <w:t>dnia 31 grudnia 2019</w:t>
      </w:r>
      <w:r w:rsidRPr="00976BA4">
        <w:rPr>
          <w:rFonts w:cs="Times New Roman"/>
          <w:iCs/>
          <w:szCs w:val="24"/>
        </w:rPr>
        <w:t xml:space="preserve"> roku.</w:t>
      </w:r>
    </w:p>
    <w:p w:rsidR="00B3089B" w:rsidRPr="00976BA4" w:rsidRDefault="00B3089B" w:rsidP="00B3089B">
      <w:pPr>
        <w:widowControl/>
        <w:tabs>
          <w:tab w:val="left" w:pos="567"/>
        </w:tabs>
        <w:spacing w:line="264" w:lineRule="auto"/>
        <w:ind w:left="567"/>
        <w:rPr>
          <w:rFonts w:cs="Times New Roman"/>
          <w:spacing w:val="-2"/>
          <w:szCs w:val="24"/>
        </w:rPr>
      </w:pPr>
      <w:r w:rsidRPr="00976BA4">
        <w:rPr>
          <w:rFonts w:cs="Times New Roman"/>
          <w:spacing w:val="-2"/>
          <w:szCs w:val="24"/>
        </w:rPr>
        <w:t>Oprócz ww. zmian związanych z wymaganiami ICAO, w projekcie wprowadzono niżej wymienione zmiany merytoryczne dotyczące eksploatacji lotnisk.</w:t>
      </w:r>
    </w:p>
    <w:p w:rsidR="00B3089B" w:rsidRPr="00976BA4" w:rsidRDefault="00B3089B" w:rsidP="00B3089B">
      <w:pPr>
        <w:widowControl/>
        <w:tabs>
          <w:tab w:val="left" w:pos="567"/>
        </w:tabs>
        <w:spacing w:line="264" w:lineRule="auto"/>
        <w:ind w:left="567"/>
        <w:rPr>
          <w:rFonts w:cs="Times New Roman"/>
          <w:szCs w:val="24"/>
        </w:rPr>
      </w:pPr>
      <w:r w:rsidRPr="00976BA4">
        <w:rPr>
          <w:rFonts w:cs="Times New Roman"/>
          <w:spacing w:val="-2"/>
          <w:szCs w:val="24"/>
        </w:rPr>
        <w:t>W § 18 dodano przepisy, określające sposób wyznaczania długości deklarowanych dla dróg startowych na lotniskach dla samolotów z drogą startową bez nawierzchni sztucznej.</w:t>
      </w:r>
    </w:p>
    <w:p w:rsidR="00B3089B" w:rsidRPr="00976BA4" w:rsidRDefault="00B3089B" w:rsidP="00B3089B">
      <w:pPr>
        <w:widowControl/>
        <w:tabs>
          <w:tab w:val="left" w:pos="567"/>
        </w:tabs>
        <w:spacing w:line="264" w:lineRule="auto"/>
        <w:ind w:left="567"/>
        <w:rPr>
          <w:rFonts w:cs="Times New Roman"/>
          <w:szCs w:val="24"/>
        </w:rPr>
      </w:pPr>
      <w:r w:rsidRPr="00976BA4">
        <w:rPr>
          <w:rFonts w:cs="Times New Roman"/>
          <w:szCs w:val="24"/>
        </w:rPr>
        <w:t>W § 21 ust. 1 pkt 3 zwiększono dopuszczane nachylenie podłużne drogi startowej z 15% na 18 % dla lotnisk położonych w obszarach górskich, które nie są wykorzystywane do lotów handlowych. Zmiana ta wynika z odmiennych warunków eksploatacji lotnisk z drogą startową bez nawierzchni sztucznej, położonych</w:t>
      </w:r>
      <w:r w:rsidRPr="00976BA4">
        <w:rPr>
          <w:szCs w:val="24"/>
        </w:rPr>
        <w:t xml:space="preserve"> </w:t>
      </w:r>
      <w:r w:rsidRPr="00976BA4">
        <w:rPr>
          <w:rFonts w:cs="Times New Roman"/>
          <w:szCs w:val="24"/>
        </w:rPr>
        <w:t>w obszarach górskich, pod warunkiem podstawowego ich wykorzystywania jedynie do lotów sportowych, rekreacyjnych lub szkoleniowych, w zakresie różnicy między najwyżej i najniżej położonymi punktami linii środkowej drogi startowej. Poprawiony przepis urzeczywistnia aktualnie już istniejące warunki spadku podłużnego drogi startowej dla specyficznych, wskazanego powyżej rodzaju lotnisk.</w:t>
      </w:r>
    </w:p>
    <w:p w:rsidR="00B3089B" w:rsidRPr="00976BA4" w:rsidRDefault="00B3089B" w:rsidP="00B3089B">
      <w:pPr>
        <w:widowControl/>
        <w:tabs>
          <w:tab w:val="left" w:pos="567"/>
        </w:tabs>
        <w:spacing w:line="264" w:lineRule="auto"/>
        <w:ind w:left="567"/>
        <w:rPr>
          <w:rFonts w:cs="Times New Roman"/>
          <w:szCs w:val="24"/>
        </w:rPr>
      </w:pPr>
      <w:r w:rsidRPr="00976BA4">
        <w:rPr>
          <w:rFonts w:cs="Times New Roman"/>
          <w:szCs w:val="24"/>
        </w:rPr>
        <w:lastRenderedPageBreak/>
        <w:t>W § 28 oraz w załączniku 2, dodano przepisy, które precyzują wymogi stosowania wskaźnika kierunku wiatru na lotniskach z drogą startową bez nawierzchni sztucznej.</w:t>
      </w:r>
    </w:p>
    <w:p w:rsidR="00B3089B" w:rsidRPr="00976BA4" w:rsidRDefault="00B3089B" w:rsidP="00B3089B">
      <w:pPr>
        <w:widowControl/>
        <w:tabs>
          <w:tab w:val="left" w:pos="567"/>
        </w:tabs>
        <w:spacing w:line="264" w:lineRule="auto"/>
        <w:ind w:left="567"/>
        <w:rPr>
          <w:rFonts w:cs="Times New Roman"/>
          <w:szCs w:val="24"/>
        </w:rPr>
      </w:pPr>
      <w:r w:rsidRPr="00976BA4">
        <w:rPr>
          <w:rFonts w:cs="Times New Roman"/>
          <w:szCs w:val="24"/>
        </w:rPr>
        <w:t>W § 29</w:t>
      </w:r>
      <w:r w:rsidRPr="00976BA4">
        <w:rPr>
          <w:rFonts w:cs="Times New Roman"/>
          <w:b/>
          <w:szCs w:val="24"/>
        </w:rPr>
        <w:t xml:space="preserve"> </w:t>
      </w:r>
      <w:r w:rsidRPr="00976BA4">
        <w:rPr>
          <w:rFonts w:cs="Times New Roman"/>
          <w:szCs w:val="24"/>
        </w:rPr>
        <w:t>wprowadzono rozróżnienie wymagań dotyczących odległości między granicą pola wzlotów a granicą zabezpieczenia pola wzlotów, dla lotnisk podejściem nie-przyrządowym i przyrządowym. Zmiana to została wprowadzona, ze względu na wdrożenie podobnych wymagań w przepisach międzynarodowych (ICAO, UE).</w:t>
      </w:r>
    </w:p>
    <w:p w:rsidR="00B3089B" w:rsidRPr="00976BA4" w:rsidRDefault="00B3089B" w:rsidP="00B3089B">
      <w:pPr>
        <w:widowControl/>
        <w:tabs>
          <w:tab w:val="left" w:pos="4575"/>
        </w:tabs>
        <w:spacing w:line="264" w:lineRule="auto"/>
        <w:ind w:left="567"/>
        <w:rPr>
          <w:rFonts w:cs="Times New Roman"/>
          <w:spacing w:val="-2"/>
          <w:szCs w:val="24"/>
        </w:rPr>
      </w:pPr>
      <w:r w:rsidRPr="00976BA4">
        <w:rPr>
          <w:rFonts w:cs="Times New Roman"/>
          <w:spacing w:val="-2"/>
          <w:szCs w:val="24"/>
        </w:rPr>
        <w:t>Ponadto zmieniono strukturę rozporządzenia, w tym usunięto rozdział drugi, zmieniono kolejność rozdziałów oraz poprawiono brzmienie niektórych przepisów, mając na uwadze zapewnienie większej przejrzystości i spójności projektowanych przepisów.</w:t>
      </w:r>
    </w:p>
    <w:p w:rsidR="00B3089B" w:rsidRPr="00976BA4" w:rsidRDefault="00B3089B" w:rsidP="00B3089B">
      <w:pPr>
        <w:pStyle w:val="Akapitzlist"/>
        <w:numPr>
          <w:ilvl w:val="0"/>
          <w:numId w:val="1"/>
        </w:numPr>
        <w:shd w:val="clear" w:color="auto" w:fill="auto"/>
        <w:tabs>
          <w:tab w:val="left" w:pos="567"/>
        </w:tabs>
        <w:spacing w:line="264" w:lineRule="auto"/>
        <w:ind w:left="567" w:hanging="567"/>
        <w:contextualSpacing/>
        <w:jc w:val="both"/>
        <w:rPr>
          <w:b w:val="0"/>
          <w:sz w:val="24"/>
          <w:szCs w:val="24"/>
        </w:rPr>
      </w:pPr>
      <w:r>
        <w:rPr>
          <w:sz w:val="24"/>
          <w:szCs w:val="24"/>
        </w:rPr>
        <w:t>Zakres regulacji</w:t>
      </w:r>
    </w:p>
    <w:p w:rsidR="00B3089B" w:rsidRPr="00976BA4" w:rsidRDefault="00B3089B" w:rsidP="00B3089B">
      <w:pPr>
        <w:widowControl/>
        <w:tabs>
          <w:tab w:val="left" w:pos="567"/>
        </w:tabs>
        <w:spacing w:line="264" w:lineRule="auto"/>
        <w:ind w:left="567"/>
        <w:rPr>
          <w:rFonts w:cs="Times New Roman"/>
          <w:szCs w:val="24"/>
        </w:rPr>
      </w:pPr>
      <w:r w:rsidRPr="00976BA4">
        <w:rPr>
          <w:rFonts w:cs="Times New Roman"/>
          <w:spacing w:val="-2"/>
          <w:szCs w:val="24"/>
        </w:rPr>
        <w:t>Wymagania</w:t>
      </w:r>
      <w:r w:rsidRPr="00976BA4">
        <w:rPr>
          <w:rFonts w:cs="Times New Roman"/>
          <w:szCs w:val="24"/>
        </w:rPr>
        <w:t xml:space="preserve"> dla lotnisk użytku wyłącznego powinny być uzależnione od typu i charakterystyk lotniska oraz rodzaju ruchu lotniczego. Projekt rozporządzenia określa osobno wymagania dla lotnisk posiadających drogę startową o nawierzchni sztucznej i lotnisk z drogą startową bez nawierzchni sztucznej (o nawierzchni naturalnej) oraz lotnisk dla śmigłowców. Ze względu na rodzaj wykonywania operacji lotniczych rozróżniono wymagania dla lotnisk eksploatowanych tylko w dzień oraz dla lotnisk wykorzystywanych także w nocy. Zastosowano dodatkowe wymagania dla lotnisk, na których wykonywane są loty handlowe. Projektując przedmiotowe rozporządzenie zastosowano jednocześnie wyłączenia tych przepisów, które zdaniem projektodawcy nie są niezbędne na lotniskach użytku wyłącznego, a ich stosowanie mogłoby pociągnąć za sobą niewspółmierne koszty. Jednocześnie należy zwrócić uwagę, że projektowane rozporządzenie posługuje się technicznym podziałem lotnisk ze względu na kod referencyjny i tym samym wiele wymagań jest uzależnionych od tego kodu. </w:t>
      </w:r>
    </w:p>
    <w:p w:rsidR="00B3089B" w:rsidRPr="00976BA4" w:rsidRDefault="00B3089B" w:rsidP="00B3089B">
      <w:pPr>
        <w:widowControl/>
        <w:spacing w:after="60" w:line="264" w:lineRule="auto"/>
        <w:ind w:left="567"/>
        <w:rPr>
          <w:rFonts w:cs="Times New Roman"/>
          <w:szCs w:val="24"/>
        </w:rPr>
      </w:pPr>
      <w:r w:rsidRPr="00976BA4">
        <w:rPr>
          <w:rFonts w:cs="Times New Roman"/>
          <w:szCs w:val="24"/>
        </w:rPr>
        <w:t>Projekt rozporządzenia został podzielony na sześć rozdziałów określających odpowiednio:</w:t>
      </w:r>
    </w:p>
    <w:p w:rsidR="00B3089B" w:rsidRPr="00976BA4" w:rsidRDefault="00B3089B" w:rsidP="00B3089B">
      <w:pPr>
        <w:pStyle w:val="Akapitzlist"/>
        <w:numPr>
          <w:ilvl w:val="0"/>
          <w:numId w:val="6"/>
        </w:numPr>
        <w:shd w:val="clear" w:color="auto" w:fill="auto"/>
        <w:tabs>
          <w:tab w:val="left" w:pos="1134"/>
        </w:tabs>
        <w:autoSpaceDE w:val="0"/>
        <w:autoSpaceDN w:val="0"/>
        <w:adjustRightInd w:val="0"/>
        <w:spacing w:before="0" w:after="60" w:line="264" w:lineRule="auto"/>
        <w:ind w:left="1134" w:hanging="425"/>
        <w:jc w:val="both"/>
        <w:rPr>
          <w:sz w:val="24"/>
          <w:szCs w:val="24"/>
        </w:rPr>
      </w:pPr>
      <w:r w:rsidRPr="00976BA4">
        <w:rPr>
          <w:sz w:val="24"/>
          <w:szCs w:val="24"/>
        </w:rPr>
        <w:t>przepisy ogólne;</w:t>
      </w:r>
    </w:p>
    <w:p w:rsidR="00B3089B" w:rsidRPr="00976BA4" w:rsidRDefault="00B3089B" w:rsidP="00B3089B">
      <w:pPr>
        <w:pStyle w:val="Akapitzlist"/>
        <w:numPr>
          <w:ilvl w:val="0"/>
          <w:numId w:val="6"/>
        </w:numPr>
        <w:shd w:val="clear" w:color="auto" w:fill="auto"/>
        <w:tabs>
          <w:tab w:val="left" w:pos="1134"/>
        </w:tabs>
        <w:autoSpaceDE w:val="0"/>
        <w:autoSpaceDN w:val="0"/>
        <w:adjustRightInd w:val="0"/>
        <w:spacing w:before="0" w:after="60" w:line="264" w:lineRule="auto"/>
        <w:ind w:left="1134" w:hanging="425"/>
        <w:jc w:val="both"/>
        <w:rPr>
          <w:sz w:val="24"/>
          <w:szCs w:val="24"/>
        </w:rPr>
      </w:pPr>
      <w:r w:rsidRPr="00976BA4">
        <w:rPr>
          <w:sz w:val="24"/>
          <w:szCs w:val="24"/>
        </w:rPr>
        <w:t>wymagania dla lotnisk dla samolotów z drogą startową o nawierzchni sztucznej;</w:t>
      </w:r>
    </w:p>
    <w:p w:rsidR="00B3089B" w:rsidRPr="00976BA4" w:rsidRDefault="00B3089B" w:rsidP="00B3089B">
      <w:pPr>
        <w:pStyle w:val="Akapitzlist"/>
        <w:numPr>
          <w:ilvl w:val="0"/>
          <w:numId w:val="6"/>
        </w:numPr>
        <w:shd w:val="clear" w:color="auto" w:fill="auto"/>
        <w:tabs>
          <w:tab w:val="left" w:pos="1134"/>
        </w:tabs>
        <w:autoSpaceDE w:val="0"/>
        <w:autoSpaceDN w:val="0"/>
        <w:adjustRightInd w:val="0"/>
        <w:spacing w:before="0" w:after="60" w:line="264" w:lineRule="auto"/>
        <w:ind w:left="1134" w:hanging="425"/>
        <w:jc w:val="both"/>
        <w:rPr>
          <w:sz w:val="24"/>
          <w:szCs w:val="24"/>
        </w:rPr>
      </w:pPr>
      <w:r w:rsidRPr="00976BA4">
        <w:rPr>
          <w:sz w:val="24"/>
          <w:szCs w:val="24"/>
        </w:rPr>
        <w:t>wymagania dla lotnisk dla samolotów z drogą startową bez nawierzchni sztucznej;</w:t>
      </w:r>
    </w:p>
    <w:p w:rsidR="00B3089B" w:rsidRPr="00976BA4" w:rsidRDefault="00B3089B" w:rsidP="00B3089B">
      <w:pPr>
        <w:pStyle w:val="Akapitzlist"/>
        <w:numPr>
          <w:ilvl w:val="0"/>
          <w:numId w:val="6"/>
        </w:numPr>
        <w:shd w:val="clear" w:color="auto" w:fill="auto"/>
        <w:tabs>
          <w:tab w:val="left" w:pos="1134"/>
        </w:tabs>
        <w:autoSpaceDE w:val="0"/>
        <w:autoSpaceDN w:val="0"/>
        <w:adjustRightInd w:val="0"/>
        <w:spacing w:before="0" w:after="60" w:line="264" w:lineRule="auto"/>
        <w:ind w:left="1134" w:hanging="425"/>
        <w:jc w:val="both"/>
        <w:rPr>
          <w:sz w:val="24"/>
          <w:szCs w:val="24"/>
        </w:rPr>
      </w:pPr>
      <w:r w:rsidRPr="00976BA4">
        <w:rPr>
          <w:sz w:val="24"/>
          <w:szCs w:val="24"/>
        </w:rPr>
        <w:t>wymagania dla lotnisk dla śmigłowców;</w:t>
      </w:r>
    </w:p>
    <w:p w:rsidR="00B3089B" w:rsidRPr="00976BA4" w:rsidRDefault="00B3089B" w:rsidP="00B3089B">
      <w:pPr>
        <w:pStyle w:val="Akapitzlist"/>
        <w:numPr>
          <w:ilvl w:val="0"/>
          <w:numId w:val="6"/>
        </w:numPr>
        <w:shd w:val="clear" w:color="auto" w:fill="auto"/>
        <w:tabs>
          <w:tab w:val="left" w:pos="1134"/>
        </w:tabs>
        <w:autoSpaceDE w:val="0"/>
        <w:autoSpaceDN w:val="0"/>
        <w:adjustRightInd w:val="0"/>
        <w:spacing w:before="0" w:after="60" w:line="264" w:lineRule="auto"/>
        <w:ind w:left="1134" w:hanging="425"/>
        <w:jc w:val="both"/>
        <w:rPr>
          <w:sz w:val="24"/>
          <w:szCs w:val="24"/>
        </w:rPr>
      </w:pPr>
      <w:r w:rsidRPr="00976BA4">
        <w:rPr>
          <w:sz w:val="24"/>
          <w:szCs w:val="24"/>
        </w:rPr>
        <w:t>sposób i tryb przeprowadzania kontroli sprawdzającej;</w:t>
      </w:r>
    </w:p>
    <w:p w:rsidR="00B3089B" w:rsidRPr="00976BA4" w:rsidRDefault="00B3089B" w:rsidP="00B3089B">
      <w:pPr>
        <w:pStyle w:val="Akapitzlist"/>
        <w:numPr>
          <w:ilvl w:val="0"/>
          <w:numId w:val="6"/>
        </w:numPr>
        <w:shd w:val="clear" w:color="auto" w:fill="auto"/>
        <w:tabs>
          <w:tab w:val="left" w:pos="1134"/>
        </w:tabs>
        <w:autoSpaceDE w:val="0"/>
        <w:autoSpaceDN w:val="0"/>
        <w:adjustRightInd w:val="0"/>
        <w:spacing w:before="0" w:line="264" w:lineRule="auto"/>
        <w:ind w:left="1134" w:hanging="425"/>
        <w:jc w:val="both"/>
        <w:rPr>
          <w:sz w:val="24"/>
          <w:szCs w:val="24"/>
        </w:rPr>
      </w:pPr>
      <w:r w:rsidRPr="00976BA4">
        <w:rPr>
          <w:sz w:val="24"/>
          <w:szCs w:val="24"/>
        </w:rPr>
        <w:t>przepisy przejściowe i końcowe.</w:t>
      </w:r>
    </w:p>
    <w:p w:rsidR="00B3089B" w:rsidRPr="00976BA4" w:rsidRDefault="00B3089B" w:rsidP="00B3089B">
      <w:pPr>
        <w:widowControl/>
        <w:tabs>
          <w:tab w:val="left" w:pos="567"/>
        </w:tabs>
        <w:spacing w:line="264" w:lineRule="auto"/>
        <w:ind w:left="567"/>
        <w:rPr>
          <w:rFonts w:cs="Times New Roman"/>
          <w:szCs w:val="24"/>
        </w:rPr>
      </w:pPr>
      <w:r w:rsidRPr="00976BA4">
        <w:rPr>
          <w:rFonts w:cs="Times New Roman"/>
          <w:b/>
          <w:szCs w:val="24"/>
        </w:rPr>
        <w:t>Rozdział 1</w:t>
      </w:r>
      <w:r w:rsidRPr="00976BA4">
        <w:rPr>
          <w:rFonts w:cs="Times New Roman"/>
          <w:szCs w:val="24"/>
        </w:rPr>
        <w:t xml:space="preserve"> określa zakres regulacji i wyjaśnienie pojęć używanych na potrzeby niniejszego rozporządzenia.</w:t>
      </w:r>
    </w:p>
    <w:p w:rsidR="00B3089B" w:rsidRPr="00976BA4" w:rsidRDefault="00B3089B" w:rsidP="00B3089B">
      <w:pPr>
        <w:widowControl/>
        <w:tabs>
          <w:tab w:val="left" w:pos="567"/>
        </w:tabs>
        <w:spacing w:line="264" w:lineRule="auto"/>
        <w:ind w:left="567"/>
        <w:rPr>
          <w:rFonts w:cs="Times New Roman"/>
          <w:szCs w:val="24"/>
        </w:rPr>
      </w:pPr>
      <w:r w:rsidRPr="00976BA4">
        <w:rPr>
          <w:rFonts w:cs="Times New Roman"/>
          <w:szCs w:val="24"/>
        </w:rPr>
        <w:t xml:space="preserve">W § 2 ust. 1 pkt 1 i 2 zastosowano odesłanie do Załącznika 14 Tom I II opublikowanych w Dzienniku Urzędowym Prezesa Urzędu Lotnictwa Cywilnego w wersji określonej powyżej. </w:t>
      </w:r>
    </w:p>
    <w:p w:rsidR="00B3089B" w:rsidRPr="001364E5" w:rsidRDefault="00B3089B" w:rsidP="00B3089B">
      <w:pPr>
        <w:widowControl/>
        <w:tabs>
          <w:tab w:val="left" w:pos="567"/>
        </w:tabs>
        <w:spacing w:line="264" w:lineRule="auto"/>
        <w:ind w:left="567"/>
        <w:rPr>
          <w:rFonts w:cs="Times New Roman"/>
          <w:szCs w:val="24"/>
        </w:rPr>
      </w:pPr>
      <w:r w:rsidRPr="001364E5">
        <w:rPr>
          <w:rFonts w:cs="Times New Roman"/>
          <w:szCs w:val="24"/>
        </w:rPr>
        <w:t xml:space="preserve">W § 2 ust. 2 wskazano, że ilekroć w treści przepisów Załącznika 14 jest mowa o właściwej władzy to kompetencje lub obowiązki tam wskazane pełni Prezes Urzędu Lotnictwa Cywilnego. Analogiczne rozwiązanie legislacyjne zostało zastosowane w m. in. w rozporządzeniu Ministra Infrastruktury z dnia 26 marca 2009 r. w sprawie </w:t>
      </w:r>
      <w:r w:rsidRPr="001364E5">
        <w:rPr>
          <w:rFonts w:cs="Times New Roman"/>
          <w:szCs w:val="24"/>
        </w:rPr>
        <w:lastRenderedPageBreak/>
        <w:t xml:space="preserve">szczegółowych zasad działania telekomunikacji lotniczej (Dz. U. z 2014 r. poz. 410) i rozporządzeniu Ministra Infrastruktury i Rozwoju z dnia 22 stycznia 2015 r. w sprawie przepisów ruchu lotniczego (Dz. U. poz. 141). </w:t>
      </w:r>
      <w:r w:rsidRPr="00E40E75">
        <w:rPr>
          <w:szCs w:val="24"/>
        </w:rPr>
        <w:t xml:space="preserve">Dodatkowo należy wskazać, że przepisy Załączników ICAO nie są </w:t>
      </w:r>
      <w:proofErr w:type="spellStart"/>
      <w:r w:rsidRPr="00E40E75">
        <w:rPr>
          <w:szCs w:val="24"/>
        </w:rPr>
        <w:t>samowykonalne</w:t>
      </w:r>
      <w:proofErr w:type="spellEnd"/>
      <w:r w:rsidRPr="00E40E75">
        <w:rPr>
          <w:szCs w:val="24"/>
        </w:rPr>
        <w:t>, a tym samym w procesie ich wdrażania do krajowego porządku prawnego należy je uszczegółowić w taki sposób aby były czytelne i łatwe w stosowaniu. Należy przy tym zauważyć, że w przypadku pojęcia „właściwa władza” można przyjąć, że kwestię tą reguluje już art. 21 ust. 2a ustawy – Prawo lotnicze, jednak mogą wystąpić sytuacje w których, w warunkach krajowych, zadania, o których mowa w Załącznikach ICAO realizują podmioty inne niż Prezes Urzędu (por. ww. rozporządzenie Ministra Infrastruktury i Rozwoju z dnia 25 września 2015 r. w sprawie służby informacji lotniczej (Dz. U. poz. 1689). Tym samym bezpośrednie wskazanie, że w przypadku Załącznika 14-tego kompetencje i obowiązki „właściwej władzy” pełni Prezes Urzędu, jest konieczne i w sposób klarowny doprecyzowuje przepisy Załącznika.</w:t>
      </w:r>
    </w:p>
    <w:p w:rsidR="00B3089B" w:rsidRPr="00976BA4" w:rsidRDefault="00B3089B" w:rsidP="00B3089B">
      <w:pPr>
        <w:widowControl/>
        <w:tabs>
          <w:tab w:val="left" w:pos="567"/>
        </w:tabs>
        <w:spacing w:line="264" w:lineRule="auto"/>
        <w:ind w:left="567"/>
        <w:rPr>
          <w:rFonts w:cs="Times New Roman"/>
          <w:szCs w:val="24"/>
        </w:rPr>
      </w:pPr>
    </w:p>
    <w:p w:rsidR="00B3089B" w:rsidRPr="00976BA4" w:rsidRDefault="00B3089B" w:rsidP="00B3089B">
      <w:pPr>
        <w:widowControl/>
        <w:tabs>
          <w:tab w:val="left" w:pos="567"/>
        </w:tabs>
        <w:spacing w:line="264" w:lineRule="auto"/>
        <w:ind w:left="567"/>
        <w:rPr>
          <w:rFonts w:cs="Times New Roman"/>
          <w:szCs w:val="24"/>
        </w:rPr>
      </w:pPr>
      <w:r w:rsidRPr="00976BA4">
        <w:rPr>
          <w:rFonts w:cs="Times New Roman"/>
          <w:b/>
          <w:szCs w:val="24"/>
        </w:rPr>
        <w:t>Rozdział 2</w:t>
      </w:r>
      <w:r w:rsidRPr="00976BA4">
        <w:rPr>
          <w:rFonts w:cs="Times New Roman"/>
          <w:szCs w:val="24"/>
        </w:rPr>
        <w:t xml:space="preserve"> określa wymagania techniczne i eksploatacyjne dla lotnisk dla samolotów z drogą startową o nawierzchni sztucznej.</w:t>
      </w:r>
    </w:p>
    <w:p w:rsidR="00B3089B" w:rsidRDefault="00B3089B" w:rsidP="00B3089B">
      <w:pPr>
        <w:widowControl/>
        <w:tabs>
          <w:tab w:val="left" w:pos="567"/>
        </w:tabs>
        <w:spacing w:line="264" w:lineRule="auto"/>
        <w:ind w:left="567"/>
        <w:rPr>
          <w:rFonts w:cs="Times New Roman"/>
          <w:szCs w:val="24"/>
        </w:rPr>
      </w:pPr>
      <w:r w:rsidRPr="00976BA4">
        <w:rPr>
          <w:rFonts w:cs="Times New Roman"/>
          <w:szCs w:val="24"/>
        </w:rPr>
        <w:t>Przepis § 3 wskazuje normy i zalecane metody postępowania oraz wskazówki merytoryczne Załącznika 14 Tom I mające zastosowania do lotnisk dla samolotów z drogą startową o nawierzchni sztucznej. Mając na uwadze charakter operacji lotniczych na lotniskach użytku wyłącznego, wymagania dla tych lotnisk zostały złagodzone poprzez wyłączenie lub ograniczenie stosowania niektórych norm i zaleceń Załącznika 14.</w:t>
      </w:r>
    </w:p>
    <w:p w:rsidR="00B3089B" w:rsidRPr="002E789F" w:rsidRDefault="00B3089B" w:rsidP="00B3089B">
      <w:pPr>
        <w:widowControl/>
        <w:tabs>
          <w:tab w:val="left" w:pos="567"/>
        </w:tabs>
        <w:spacing w:line="264" w:lineRule="auto"/>
        <w:ind w:left="567"/>
        <w:rPr>
          <w:rFonts w:cs="Times New Roman"/>
          <w:szCs w:val="24"/>
        </w:rPr>
      </w:pPr>
      <w:r w:rsidRPr="002E789F">
        <w:rPr>
          <w:rFonts w:cs="Times New Roman"/>
          <w:szCs w:val="24"/>
        </w:rPr>
        <w:t>Przepis</w:t>
      </w:r>
      <w:r w:rsidRPr="003E4F2E">
        <w:rPr>
          <w:szCs w:val="24"/>
        </w:rPr>
        <w:t xml:space="preserve"> w § 4 uszczegóławia normy i zalecenia w rozdziale 2, pkt 2.1.2 i 2.1.5 Załącznika 14 Tom I, w których występuje wyraz „Państwo”. Przepis ten nie narzuca żadnych dodatkowych wymagań dla zarządzającego lotniskiem, gdyż obowiązek zgłaszania do publikacji w AIP danych technicznych i eksploatacyjnych dotyczących lotniska oraz zapewnienia odpowiedniej jakości i spójności tych danych wynika bezpośrednio z treści Rozdziału 2 „Dane lotnicze” Załącznika 14-go (patrz m. in. pkt 2.13) oraz z ustawy Prawo lotnicze (art. 66 ust. 1) i innych przepisów (rozporządzenie Ministra Infrastruktury i Rozwoju z dnia 25 września 2015 r. w sprawie służby informacji lotniczej). Przepis ten jest potrzebny, gdyż w sposób jednoznaczny określa interpretację przedmiotowych norm i zaleceń ICAO. </w:t>
      </w:r>
    </w:p>
    <w:p w:rsidR="00B3089B" w:rsidRPr="00976BA4" w:rsidRDefault="00B3089B" w:rsidP="00B3089B">
      <w:pPr>
        <w:widowControl/>
        <w:tabs>
          <w:tab w:val="left" w:pos="567"/>
        </w:tabs>
        <w:spacing w:line="264" w:lineRule="auto"/>
        <w:ind w:left="567"/>
        <w:rPr>
          <w:rFonts w:cs="Times New Roman"/>
          <w:szCs w:val="24"/>
        </w:rPr>
      </w:pPr>
      <w:r w:rsidRPr="00976BA4">
        <w:rPr>
          <w:rFonts w:cs="Times New Roman"/>
          <w:szCs w:val="24"/>
        </w:rPr>
        <w:t>Przepis § 5 określa wymagania dla płyt postojowych, płaszczyzn zawracania, stanowisk odladzania, dróg kołowania oraz stanowiska do odladzania o nawierzchni sztucznej, jeśli występują one na lotnisku dla samolotów z drogą startową o nawierzchni sztucznej.</w:t>
      </w:r>
    </w:p>
    <w:p w:rsidR="00B3089B" w:rsidRPr="00976BA4" w:rsidRDefault="00B3089B" w:rsidP="00B3089B">
      <w:pPr>
        <w:widowControl/>
        <w:tabs>
          <w:tab w:val="left" w:pos="567"/>
        </w:tabs>
        <w:spacing w:line="264" w:lineRule="auto"/>
        <w:ind w:left="567"/>
        <w:rPr>
          <w:rFonts w:cs="Times New Roman"/>
          <w:szCs w:val="24"/>
        </w:rPr>
      </w:pPr>
      <w:r w:rsidRPr="00976BA4">
        <w:rPr>
          <w:rFonts w:cs="Times New Roman"/>
          <w:szCs w:val="24"/>
        </w:rPr>
        <w:t>Przepisy § 6–12 uszczegóławiają zakres i sposób realizacji wybranych wymagań dla lotnisk dla samolotów z drogą startową o nawierzchni sztucznej, wynikające z Załącznika 14 Tom I</w:t>
      </w:r>
    </w:p>
    <w:p w:rsidR="00B3089B" w:rsidRPr="00976BA4" w:rsidRDefault="00B3089B" w:rsidP="00B3089B">
      <w:pPr>
        <w:widowControl/>
        <w:tabs>
          <w:tab w:val="left" w:pos="567"/>
        </w:tabs>
        <w:spacing w:line="264" w:lineRule="auto"/>
        <w:ind w:left="567"/>
        <w:rPr>
          <w:rFonts w:cs="Times New Roman"/>
          <w:szCs w:val="24"/>
        </w:rPr>
      </w:pPr>
      <w:r w:rsidRPr="00976BA4">
        <w:rPr>
          <w:rFonts w:cs="Times New Roman"/>
          <w:b/>
          <w:szCs w:val="24"/>
        </w:rPr>
        <w:t xml:space="preserve">Rozdział 3 </w:t>
      </w:r>
      <w:r w:rsidRPr="00976BA4">
        <w:rPr>
          <w:rFonts w:cs="Times New Roman"/>
          <w:szCs w:val="24"/>
        </w:rPr>
        <w:t>określa wymagania dla lotnisk dla samolotów z drogą startową bez nawierzchni sztucznej.</w:t>
      </w:r>
    </w:p>
    <w:p w:rsidR="00B3089B" w:rsidRPr="00976BA4" w:rsidRDefault="00B3089B" w:rsidP="00B3089B">
      <w:pPr>
        <w:widowControl/>
        <w:tabs>
          <w:tab w:val="left" w:pos="567"/>
        </w:tabs>
        <w:spacing w:line="264" w:lineRule="auto"/>
        <w:ind w:left="567"/>
        <w:rPr>
          <w:rFonts w:cs="Times New Roman"/>
          <w:szCs w:val="24"/>
        </w:rPr>
      </w:pPr>
      <w:r w:rsidRPr="00976BA4">
        <w:rPr>
          <w:rFonts w:cs="Times New Roman"/>
          <w:szCs w:val="24"/>
        </w:rPr>
        <w:t>Przepisy § 13–24</w:t>
      </w:r>
      <w:r w:rsidRPr="00976BA4">
        <w:rPr>
          <w:rFonts w:cs="Times New Roman"/>
          <w:b/>
          <w:szCs w:val="24"/>
        </w:rPr>
        <w:t xml:space="preserve"> </w:t>
      </w:r>
      <w:r w:rsidRPr="00976BA4">
        <w:rPr>
          <w:rFonts w:cs="Times New Roman"/>
          <w:szCs w:val="24"/>
        </w:rPr>
        <w:t xml:space="preserve">określają podstawowe zasady projektowania lotniska dla samolotów z drogą startową bez nawierzchni sztucznej, które mają kluczowe znaczenie dla </w:t>
      </w:r>
      <w:r w:rsidRPr="00976BA4">
        <w:rPr>
          <w:rFonts w:cs="Times New Roman"/>
          <w:szCs w:val="24"/>
        </w:rPr>
        <w:lastRenderedPageBreak/>
        <w:t>bezpiecznego wykonywania operacji lotniczych. Wymagania te dotyczą w szczególności: wyznaczania dróg startowych, określania ich długości i szerokości, kształtu i wymiarów pola wzlotów, kodu referencyjnego lotniska, dopuszczalnego nachylenia podłużnego i poprzecznego drogi startowej oraz jego zmiany oraz wytrzymałości nawierzchni pola wzlotów.</w:t>
      </w:r>
    </w:p>
    <w:p w:rsidR="00B3089B" w:rsidRPr="00976BA4" w:rsidRDefault="00B3089B" w:rsidP="00B3089B">
      <w:pPr>
        <w:widowControl/>
        <w:tabs>
          <w:tab w:val="left" w:pos="567"/>
        </w:tabs>
        <w:spacing w:line="264" w:lineRule="auto"/>
        <w:ind w:left="567"/>
        <w:rPr>
          <w:rFonts w:cs="Times New Roman"/>
          <w:szCs w:val="24"/>
        </w:rPr>
      </w:pPr>
      <w:r w:rsidRPr="00976BA4">
        <w:rPr>
          <w:rFonts w:cs="Times New Roman"/>
          <w:szCs w:val="24"/>
        </w:rPr>
        <w:t>Przepis § 25–27 określa zasady stosowania oznaczników pola wzlotów, w tym dróg startowych i dróg kołowania.</w:t>
      </w:r>
    </w:p>
    <w:p w:rsidR="00B3089B" w:rsidRPr="00976BA4" w:rsidRDefault="00B3089B" w:rsidP="00B3089B">
      <w:pPr>
        <w:widowControl/>
        <w:tabs>
          <w:tab w:val="left" w:pos="567"/>
        </w:tabs>
        <w:spacing w:line="264" w:lineRule="auto"/>
        <w:ind w:left="567"/>
        <w:rPr>
          <w:rFonts w:cs="Times New Roman"/>
          <w:szCs w:val="24"/>
        </w:rPr>
      </w:pPr>
      <w:r w:rsidRPr="00976BA4">
        <w:rPr>
          <w:rFonts w:cs="Times New Roman"/>
          <w:szCs w:val="24"/>
        </w:rPr>
        <w:t>Przepis § 28 (oraz załącznik nr 2) określa wymagania dla wskaźnika kierunku wiatru.</w:t>
      </w:r>
    </w:p>
    <w:p w:rsidR="00B3089B" w:rsidRPr="00976BA4" w:rsidRDefault="00B3089B" w:rsidP="00B3089B">
      <w:pPr>
        <w:widowControl/>
        <w:tabs>
          <w:tab w:val="left" w:pos="567"/>
        </w:tabs>
        <w:spacing w:line="264" w:lineRule="auto"/>
        <w:ind w:left="567"/>
        <w:rPr>
          <w:rFonts w:cs="Times New Roman"/>
          <w:szCs w:val="24"/>
        </w:rPr>
      </w:pPr>
      <w:r w:rsidRPr="00976BA4">
        <w:rPr>
          <w:rFonts w:cs="Times New Roman"/>
          <w:szCs w:val="24"/>
        </w:rPr>
        <w:t>Przepis § 29 określa wymagania dla zabezpieczenia pola wzlotów.</w:t>
      </w:r>
    </w:p>
    <w:p w:rsidR="00B3089B" w:rsidRPr="00976BA4" w:rsidRDefault="00B3089B" w:rsidP="00B3089B">
      <w:pPr>
        <w:widowControl/>
        <w:tabs>
          <w:tab w:val="left" w:pos="567"/>
        </w:tabs>
        <w:spacing w:line="264" w:lineRule="auto"/>
        <w:ind w:left="567"/>
        <w:rPr>
          <w:rFonts w:cs="Times New Roman"/>
          <w:szCs w:val="24"/>
        </w:rPr>
      </w:pPr>
      <w:r w:rsidRPr="00976BA4">
        <w:rPr>
          <w:rFonts w:cs="Times New Roman"/>
          <w:szCs w:val="24"/>
        </w:rPr>
        <w:t>Przepis § 30 określa wymagania dla lotnisk dla samolotów z drogą startową bez nawierzchni sztucznej użytkowanych w nocy, w tym świateł drogi startowej i dróg kołowania.</w:t>
      </w:r>
    </w:p>
    <w:p w:rsidR="00B3089B" w:rsidRPr="00976BA4" w:rsidRDefault="00B3089B" w:rsidP="00B3089B">
      <w:pPr>
        <w:widowControl/>
        <w:tabs>
          <w:tab w:val="left" w:pos="567"/>
        </w:tabs>
        <w:spacing w:line="264" w:lineRule="auto"/>
        <w:ind w:left="567"/>
        <w:rPr>
          <w:rFonts w:cs="Times New Roman"/>
          <w:szCs w:val="24"/>
        </w:rPr>
      </w:pPr>
      <w:r w:rsidRPr="00976BA4">
        <w:rPr>
          <w:rFonts w:cs="Times New Roman"/>
          <w:szCs w:val="24"/>
        </w:rPr>
        <w:t>Przepis § 31 określa wymagania dotyczące systemu zasilania elektroenergetycznego pomocy nawigacyjnych.</w:t>
      </w:r>
    </w:p>
    <w:p w:rsidR="00B3089B" w:rsidRPr="00976BA4" w:rsidRDefault="00B3089B" w:rsidP="00B3089B">
      <w:pPr>
        <w:widowControl/>
        <w:tabs>
          <w:tab w:val="left" w:pos="567"/>
        </w:tabs>
        <w:spacing w:line="264" w:lineRule="auto"/>
        <w:ind w:left="567"/>
        <w:rPr>
          <w:rFonts w:cs="Times New Roman"/>
          <w:szCs w:val="24"/>
        </w:rPr>
      </w:pPr>
      <w:r w:rsidRPr="00976BA4">
        <w:rPr>
          <w:rFonts w:cs="Times New Roman"/>
          <w:szCs w:val="24"/>
        </w:rPr>
        <w:t>Przepis § 32 określa wymagania dotyczące ochrony lotniska przed nieuprawnionym wtargnięciem osób, pojazdów lub zwierząt.</w:t>
      </w:r>
    </w:p>
    <w:p w:rsidR="00B3089B" w:rsidRPr="00976BA4" w:rsidRDefault="00B3089B" w:rsidP="00B3089B">
      <w:pPr>
        <w:widowControl/>
        <w:tabs>
          <w:tab w:val="left" w:pos="567"/>
        </w:tabs>
        <w:spacing w:line="264" w:lineRule="auto"/>
        <w:ind w:left="567"/>
        <w:rPr>
          <w:rFonts w:cs="Times New Roman"/>
          <w:szCs w:val="24"/>
        </w:rPr>
      </w:pPr>
      <w:r w:rsidRPr="00976BA4">
        <w:rPr>
          <w:rFonts w:cs="Times New Roman"/>
          <w:szCs w:val="24"/>
        </w:rPr>
        <w:t>Przepis § 33 wskazuje sposób w jaki wyznacza się powierzchnie ograniczające dla lotnisk.</w:t>
      </w:r>
    </w:p>
    <w:p w:rsidR="00B3089B" w:rsidRPr="00976BA4" w:rsidRDefault="00B3089B" w:rsidP="00B3089B">
      <w:pPr>
        <w:widowControl/>
        <w:tabs>
          <w:tab w:val="left" w:pos="567"/>
        </w:tabs>
        <w:spacing w:line="264" w:lineRule="auto"/>
        <w:ind w:left="567"/>
        <w:rPr>
          <w:rFonts w:cs="Times New Roman"/>
          <w:szCs w:val="24"/>
        </w:rPr>
      </w:pPr>
      <w:r w:rsidRPr="00976BA4">
        <w:rPr>
          <w:rFonts w:cs="Times New Roman"/>
          <w:b/>
          <w:szCs w:val="24"/>
        </w:rPr>
        <w:t>Rozdział 4</w:t>
      </w:r>
      <w:r w:rsidRPr="00976BA4">
        <w:rPr>
          <w:rFonts w:cs="Times New Roman"/>
          <w:szCs w:val="24"/>
        </w:rPr>
        <w:t xml:space="preserve"> projektu określa wymagania techniczne i eksploatacyjne dla lotnisk użytku wyłącznego dla śmigłowców.</w:t>
      </w:r>
    </w:p>
    <w:p w:rsidR="00B3089B" w:rsidRPr="00976BA4" w:rsidRDefault="00B3089B" w:rsidP="00B3089B">
      <w:pPr>
        <w:widowControl/>
        <w:tabs>
          <w:tab w:val="left" w:pos="567"/>
        </w:tabs>
        <w:spacing w:line="264" w:lineRule="auto"/>
        <w:ind w:left="567"/>
        <w:rPr>
          <w:rFonts w:cs="Times New Roman"/>
          <w:szCs w:val="24"/>
        </w:rPr>
      </w:pPr>
      <w:r w:rsidRPr="00976BA4">
        <w:rPr>
          <w:rFonts w:cs="Times New Roman"/>
          <w:szCs w:val="24"/>
        </w:rPr>
        <w:t>Przepisy § 34 wskazują normy i zalecane metody postępowania Załącznika 14 Tom II, mające zastosowanie do lotnisk dla śmigłowców w Polsce.</w:t>
      </w:r>
    </w:p>
    <w:p w:rsidR="00B3089B" w:rsidRPr="00976BA4" w:rsidRDefault="00B3089B" w:rsidP="00B3089B">
      <w:pPr>
        <w:widowControl/>
        <w:tabs>
          <w:tab w:val="left" w:pos="567"/>
        </w:tabs>
        <w:spacing w:line="264" w:lineRule="auto"/>
        <w:ind w:left="567"/>
        <w:rPr>
          <w:rFonts w:eastAsia="Calibri" w:cs="Times New Roman"/>
          <w:szCs w:val="24"/>
        </w:rPr>
      </w:pPr>
      <w:r w:rsidRPr="00976BA4">
        <w:rPr>
          <w:rFonts w:cs="Times New Roman"/>
          <w:szCs w:val="24"/>
        </w:rPr>
        <w:t>Przepisy § 35</w:t>
      </w:r>
      <w:r w:rsidRPr="00976BA4">
        <w:rPr>
          <w:rFonts w:cs="Times New Roman"/>
          <w:szCs w:val="24"/>
        </w:rPr>
        <w:sym w:font="Symbol" w:char="F02D"/>
      </w:r>
      <w:r w:rsidRPr="00976BA4">
        <w:rPr>
          <w:rFonts w:cs="Times New Roman"/>
          <w:szCs w:val="24"/>
        </w:rPr>
        <w:t xml:space="preserve">40 uszczegółowiają lub uzupełniają wymagania o których mowa w § 32 w zakresie nawierzchni lotniska, długości deklarowanych, </w:t>
      </w:r>
      <w:r w:rsidRPr="00976BA4">
        <w:rPr>
          <w:rFonts w:eastAsia="Calibri" w:cs="Times New Roman"/>
          <w:szCs w:val="24"/>
        </w:rPr>
        <w:t xml:space="preserve">strefy podejścia końcowego i startu (FATO), strefy przyziemienia </w:t>
      </w:r>
      <w:r w:rsidRPr="00976BA4">
        <w:rPr>
          <w:rFonts w:cs="Times New Roman"/>
          <w:bCs/>
          <w:szCs w:val="24"/>
        </w:rPr>
        <w:t>i wznoszenia (</w:t>
      </w:r>
      <w:r w:rsidRPr="00976BA4">
        <w:rPr>
          <w:rFonts w:eastAsia="Calibri" w:cs="Times New Roman"/>
          <w:szCs w:val="24"/>
        </w:rPr>
        <w:t xml:space="preserve">TLOF), </w:t>
      </w:r>
      <w:r w:rsidRPr="00976BA4">
        <w:rPr>
          <w:rFonts w:cs="Times New Roman"/>
          <w:szCs w:val="24"/>
        </w:rPr>
        <w:t xml:space="preserve">powierzchni zabezpieczenia przeszkodowego oraz </w:t>
      </w:r>
      <w:r w:rsidRPr="00976BA4">
        <w:rPr>
          <w:rFonts w:eastAsia="Calibri" w:cs="Times New Roman"/>
          <w:szCs w:val="24"/>
        </w:rPr>
        <w:t>zabezpieczenia lotniska przed wtargnięciem nieuprawnionych osób, pojazdów lub zwierząt mogących stanowić zagrożenie dla statków powietrznych.</w:t>
      </w:r>
    </w:p>
    <w:p w:rsidR="00B3089B" w:rsidRPr="00976BA4" w:rsidRDefault="00B3089B" w:rsidP="00B3089B">
      <w:pPr>
        <w:widowControl/>
        <w:tabs>
          <w:tab w:val="left" w:pos="567"/>
        </w:tabs>
        <w:spacing w:line="264" w:lineRule="auto"/>
        <w:ind w:left="567"/>
        <w:rPr>
          <w:rFonts w:cs="Times New Roman"/>
          <w:b/>
          <w:szCs w:val="24"/>
        </w:rPr>
      </w:pPr>
      <w:r w:rsidRPr="00976BA4">
        <w:rPr>
          <w:rFonts w:cs="Times New Roman"/>
          <w:b/>
          <w:szCs w:val="24"/>
        </w:rPr>
        <w:t>Rozdział 5</w:t>
      </w:r>
      <w:r w:rsidRPr="00976BA4">
        <w:rPr>
          <w:rFonts w:cs="Times New Roman"/>
          <w:szCs w:val="24"/>
        </w:rPr>
        <w:t xml:space="preserve"> projektu, określ</w:t>
      </w:r>
      <w:r w:rsidRPr="00976BA4">
        <w:rPr>
          <w:rFonts w:cs="Times New Roman"/>
          <w:bCs/>
          <w:szCs w:val="24"/>
        </w:rPr>
        <w:t>a sposób i tryb przeprowadzania kontroli sprawdzającej, zgodnie z delegacją ustawową.</w:t>
      </w:r>
    </w:p>
    <w:p w:rsidR="00B3089B" w:rsidRPr="00976BA4" w:rsidRDefault="00B3089B" w:rsidP="00B3089B">
      <w:pPr>
        <w:widowControl/>
        <w:tabs>
          <w:tab w:val="left" w:pos="567"/>
        </w:tabs>
        <w:spacing w:line="264" w:lineRule="auto"/>
        <w:ind w:left="567"/>
        <w:rPr>
          <w:rFonts w:cs="Times New Roman"/>
          <w:szCs w:val="24"/>
        </w:rPr>
      </w:pPr>
      <w:r w:rsidRPr="00976BA4">
        <w:rPr>
          <w:rFonts w:cs="Times New Roman"/>
          <w:b/>
          <w:szCs w:val="24"/>
        </w:rPr>
        <w:t>Rozdział 6</w:t>
      </w:r>
      <w:r w:rsidRPr="00976BA4">
        <w:rPr>
          <w:rFonts w:cs="Times New Roman"/>
          <w:szCs w:val="24"/>
        </w:rPr>
        <w:t xml:space="preserve"> projektu określa przepisy przejściowe i końcowe. </w:t>
      </w:r>
    </w:p>
    <w:p w:rsidR="00B3089B" w:rsidRPr="00976BA4" w:rsidRDefault="00B3089B" w:rsidP="00B3089B">
      <w:pPr>
        <w:widowControl/>
        <w:tabs>
          <w:tab w:val="left" w:pos="567"/>
        </w:tabs>
        <w:spacing w:line="264" w:lineRule="auto"/>
        <w:ind w:left="567"/>
        <w:rPr>
          <w:rFonts w:cs="Times New Roman"/>
          <w:szCs w:val="24"/>
        </w:rPr>
      </w:pPr>
      <w:r w:rsidRPr="00976BA4">
        <w:rPr>
          <w:rFonts w:cs="Times New Roman"/>
          <w:szCs w:val="24"/>
        </w:rPr>
        <w:t>W § 47 dodano przepis przejściowy określający, że do spraw wszczętych</w:t>
      </w:r>
      <w:r>
        <w:rPr>
          <w:rFonts w:cs="Times New Roman"/>
          <w:szCs w:val="24"/>
        </w:rPr>
        <w:t>,</w:t>
      </w:r>
      <w:r w:rsidRPr="00976BA4">
        <w:rPr>
          <w:rFonts w:cs="Times New Roman"/>
          <w:szCs w:val="24"/>
        </w:rPr>
        <w:t xml:space="preserve"> a niezakończonych przed dniem wejścia w życie niniejszego rozporządzenia </w:t>
      </w:r>
      <w:r w:rsidRPr="00E40E75">
        <w:rPr>
          <w:rFonts w:cs="Times New Roman"/>
          <w:szCs w:val="24"/>
        </w:rPr>
        <w:t xml:space="preserve">dotyczących wpisania lotniska do rejestru lotnisk i wydania zezwolenia, o którym mowa w art. 61 ust. 1 ustawy z dnia 3 lipca 2002 r. – Prawo lotnicze </w:t>
      </w:r>
      <w:r>
        <w:rPr>
          <w:rFonts w:cs="Times New Roman"/>
          <w:szCs w:val="24"/>
        </w:rPr>
        <w:t xml:space="preserve"> </w:t>
      </w:r>
      <w:r w:rsidRPr="00976BA4">
        <w:rPr>
          <w:rFonts w:cs="Times New Roman"/>
          <w:szCs w:val="24"/>
        </w:rPr>
        <w:t xml:space="preserve">stosuje się przepisy tego rozporządzenia. Rozwiązanie takie wydaje się właściwe, ze względu na zakres merytoryczny zmian w niniejszym projekcie rozporządzenia. </w:t>
      </w:r>
      <w:r w:rsidRPr="00181780">
        <w:rPr>
          <w:rFonts w:cs="Times New Roman"/>
          <w:szCs w:val="24"/>
        </w:rPr>
        <w:t xml:space="preserve">Do kontroli sprawdzającej rozpoczętej i niezakończonej przed dniem wejścia w życie niniejszego rozporządzenia </w:t>
      </w:r>
      <w:r>
        <w:rPr>
          <w:rFonts w:cs="Times New Roman"/>
          <w:szCs w:val="24"/>
        </w:rPr>
        <w:t xml:space="preserve">również </w:t>
      </w:r>
      <w:r w:rsidRPr="00181780">
        <w:rPr>
          <w:rFonts w:cs="Times New Roman"/>
          <w:szCs w:val="24"/>
        </w:rPr>
        <w:t xml:space="preserve">stosuje się przepisy </w:t>
      </w:r>
      <w:r>
        <w:rPr>
          <w:rFonts w:cs="Times New Roman"/>
          <w:szCs w:val="24"/>
        </w:rPr>
        <w:t xml:space="preserve">nowego </w:t>
      </w:r>
      <w:r w:rsidRPr="00181780">
        <w:rPr>
          <w:rFonts w:cs="Times New Roman"/>
          <w:szCs w:val="24"/>
        </w:rPr>
        <w:t>rozporządzenia</w:t>
      </w:r>
    </w:p>
    <w:p w:rsidR="00B3089B" w:rsidRPr="00976BA4" w:rsidRDefault="00B3089B" w:rsidP="00B3089B">
      <w:pPr>
        <w:widowControl/>
        <w:tabs>
          <w:tab w:val="left" w:pos="567"/>
          <w:tab w:val="left" w:pos="1560"/>
        </w:tabs>
        <w:spacing w:line="264" w:lineRule="auto"/>
        <w:ind w:left="567"/>
        <w:rPr>
          <w:rFonts w:cs="Times New Roman"/>
          <w:szCs w:val="24"/>
        </w:rPr>
      </w:pPr>
      <w:r w:rsidRPr="00976BA4">
        <w:rPr>
          <w:rFonts w:cs="Times New Roman"/>
          <w:szCs w:val="24"/>
        </w:rPr>
        <w:t xml:space="preserve">Przepis § 48 określa, że część wymagań dla lotnisk dla samolotów wynikających z Załącznika 14 Tom I, ma zastosowanie od dnia 1 stycznia 2020. Okres przejściowy na </w:t>
      </w:r>
      <w:r w:rsidRPr="00976BA4">
        <w:rPr>
          <w:rFonts w:cs="Times New Roman"/>
          <w:szCs w:val="24"/>
        </w:rPr>
        <w:lastRenderedPageBreak/>
        <w:t>wdrożenie tych wymagań został wydłużony, aby umożliwić zarządzającym lotniskami odpowiednie zaplanowanie i przygotowanie się do wdrożenia nowych wymagań, które wiążą się z poniesieniem pewnych nakładów finansowych.</w:t>
      </w:r>
    </w:p>
    <w:p w:rsidR="00B3089B" w:rsidRPr="00976BA4" w:rsidRDefault="00B3089B" w:rsidP="00B3089B">
      <w:pPr>
        <w:pStyle w:val="Akapitzlist"/>
        <w:numPr>
          <w:ilvl w:val="0"/>
          <w:numId w:val="1"/>
        </w:numPr>
        <w:shd w:val="clear" w:color="auto" w:fill="auto"/>
        <w:tabs>
          <w:tab w:val="left" w:pos="567"/>
        </w:tabs>
        <w:spacing w:before="360" w:line="264" w:lineRule="auto"/>
        <w:ind w:left="567" w:hanging="567"/>
        <w:jc w:val="both"/>
        <w:rPr>
          <w:b w:val="0"/>
          <w:sz w:val="24"/>
          <w:szCs w:val="24"/>
        </w:rPr>
      </w:pPr>
      <w:r w:rsidRPr="00976BA4">
        <w:rPr>
          <w:sz w:val="24"/>
          <w:szCs w:val="24"/>
        </w:rPr>
        <w:t>Przewidywane skutki prawne wejścia w życie rozporządzenia.</w:t>
      </w:r>
    </w:p>
    <w:p w:rsidR="00B3089B" w:rsidRPr="00976BA4" w:rsidRDefault="00B3089B" w:rsidP="00B3089B">
      <w:pPr>
        <w:widowControl/>
        <w:tabs>
          <w:tab w:val="left" w:pos="567"/>
        </w:tabs>
        <w:spacing w:line="264" w:lineRule="auto"/>
        <w:ind w:left="567"/>
        <w:rPr>
          <w:rFonts w:cs="Times New Roman"/>
          <w:spacing w:val="-2"/>
          <w:szCs w:val="24"/>
        </w:rPr>
      </w:pPr>
      <w:r w:rsidRPr="00976BA4">
        <w:rPr>
          <w:rFonts w:cs="Times New Roman"/>
          <w:spacing w:val="-2"/>
          <w:szCs w:val="24"/>
        </w:rPr>
        <w:t>Wymagania Załącznika 14, wdrażane w niniejszym projekcie, są wynikiem długotrwałych prac zespołów i grup zadaniowych powołanych przez ICAO, opierają się na doświadczeniach lotniczych wielu krajów oraz branży lotniczej. Ich głównym celem jest umożliwienie stosowania na lotniskach nowych systemów (np. podejścia do lądowania), procedur i rozwiązań technicznych mających na celu zapewnienie ciągłości i efektywności oraz poprawę bezpieczeństwa operacji lotniczych. Nowe wymagania dla lotnisk zostaną wdrożone w tym rozporządzeniu w zakresie niezbędnym do zapewnienia bezpieczeństwa operacji lotniczych, z uwzględnieniem klasyfikacji lotnisk oraz rodzaju wykonywanych operacji.</w:t>
      </w:r>
    </w:p>
    <w:p w:rsidR="00B3089B" w:rsidRPr="00976BA4" w:rsidRDefault="00B3089B" w:rsidP="00B3089B">
      <w:pPr>
        <w:widowControl/>
        <w:tabs>
          <w:tab w:val="left" w:pos="567"/>
        </w:tabs>
        <w:spacing w:line="264" w:lineRule="auto"/>
        <w:ind w:left="567"/>
        <w:rPr>
          <w:rFonts w:cs="Times New Roman"/>
          <w:spacing w:val="-2"/>
          <w:szCs w:val="24"/>
        </w:rPr>
      </w:pPr>
      <w:r w:rsidRPr="00976BA4">
        <w:rPr>
          <w:rFonts w:cs="Times New Roman"/>
          <w:spacing w:val="-2"/>
          <w:szCs w:val="24"/>
        </w:rPr>
        <w:t xml:space="preserve">Rozwiązania zawarte w projekcie rozporządzenia nie będą miały wpływu na działalność </w:t>
      </w:r>
      <w:proofErr w:type="spellStart"/>
      <w:r w:rsidRPr="00976BA4">
        <w:rPr>
          <w:rFonts w:cs="Times New Roman"/>
          <w:spacing w:val="-2"/>
          <w:szCs w:val="24"/>
        </w:rPr>
        <w:t>mikroprzedsiębiorców</w:t>
      </w:r>
      <w:proofErr w:type="spellEnd"/>
      <w:r w:rsidRPr="00976BA4">
        <w:rPr>
          <w:rFonts w:cs="Times New Roman"/>
          <w:spacing w:val="-2"/>
          <w:szCs w:val="24"/>
        </w:rPr>
        <w:t>, małych i średnich przedsiębiorców.</w:t>
      </w:r>
    </w:p>
    <w:p w:rsidR="00B3089B" w:rsidRPr="00976BA4" w:rsidRDefault="00B3089B" w:rsidP="00B3089B">
      <w:pPr>
        <w:pStyle w:val="Akapitzlist"/>
        <w:numPr>
          <w:ilvl w:val="0"/>
          <w:numId w:val="1"/>
        </w:numPr>
        <w:shd w:val="clear" w:color="auto" w:fill="auto"/>
        <w:tabs>
          <w:tab w:val="left" w:pos="567"/>
        </w:tabs>
        <w:spacing w:line="264" w:lineRule="auto"/>
        <w:ind w:left="567" w:hanging="567"/>
        <w:contextualSpacing/>
        <w:jc w:val="both"/>
        <w:rPr>
          <w:b w:val="0"/>
          <w:sz w:val="24"/>
          <w:szCs w:val="24"/>
        </w:rPr>
      </w:pPr>
      <w:r w:rsidRPr="00976BA4">
        <w:rPr>
          <w:sz w:val="24"/>
          <w:szCs w:val="24"/>
        </w:rPr>
        <w:t>Przedstawienie projektu właściwym organom i instytucjom Unii Europejskiej, w tym Europejskiemu Bankowi Centralnemu, w celu uzyskania opinii, dokonania powiadomienia, konsultacji albo uzgodnienia, jeżeli obowiązek taki wynika z odrębnych przepisów.</w:t>
      </w:r>
    </w:p>
    <w:p w:rsidR="00B3089B" w:rsidRPr="00976BA4" w:rsidRDefault="00B3089B" w:rsidP="00B3089B">
      <w:pPr>
        <w:widowControl/>
        <w:tabs>
          <w:tab w:val="left" w:pos="567"/>
        </w:tabs>
        <w:spacing w:line="264" w:lineRule="auto"/>
        <w:ind w:left="567"/>
        <w:rPr>
          <w:rFonts w:cs="Times New Roman"/>
          <w:szCs w:val="24"/>
        </w:rPr>
      </w:pPr>
      <w:r w:rsidRPr="00976BA4">
        <w:rPr>
          <w:rFonts w:cs="Times New Roman"/>
          <w:szCs w:val="24"/>
        </w:rPr>
        <w:t xml:space="preserve">Nie </w:t>
      </w:r>
      <w:r w:rsidRPr="00976BA4">
        <w:rPr>
          <w:rFonts w:cs="Times New Roman"/>
          <w:spacing w:val="-2"/>
          <w:szCs w:val="24"/>
        </w:rPr>
        <w:t>dotyczy</w:t>
      </w:r>
      <w:r w:rsidRPr="00976BA4">
        <w:rPr>
          <w:rFonts w:cs="Times New Roman"/>
          <w:szCs w:val="24"/>
        </w:rPr>
        <w:t>.</w:t>
      </w:r>
    </w:p>
    <w:p w:rsidR="00B3089B" w:rsidRPr="00976BA4" w:rsidRDefault="00B3089B" w:rsidP="00B3089B">
      <w:pPr>
        <w:pStyle w:val="Akapitzlist"/>
        <w:numPr>
          <w:ilvl w:val="0"/>
          <w:numId w:val="1"/>
        </w:numPr>
        <w:shd w:val="clear" w:color="auto" w:fill="auto"/>
        <w:tabs>
          <w:tab w:val="left" w:pos="567"/>
        </w:tabs>
        <w:spacing w:line="264" w:lineRule="auto"/>
        <w:ind w:left="567" w:hanging="567"/>
        <w:contextualSpacing/>
        <w:jc w:val="both"/>
        <w:rPr>
          <w:b w:val="0"/>
          <w:sz w:val="24"/>
          <w:szCs w:val="24"/>
        </w:rPr>
      </w:pPr>
      <w:r w:rsidRPr="00976BA4">
        <w:rPr>
          <w:sz w:val="24"/>
          <w:szCs w:val="24"/>
        </w:rPr>
        <w:t>Oświadczenie organu wnioskującego, co do zgodności projektu z prawem Unii Europejskiej: </w:t>
      </w:r>
    </w:p>
    <w:p w:rsidR="00B3089B" w:rsidRPr="00976BA4" w:rsidRDefault="00B3089B" w:rsidP="00B3089B">
      <w:pPr>
        <w:widowControl/>
        <w:tabs>
          <w:tab w:val="left" w:pos="1134"/>
        </w:tabs>
        <w:spacing w:line="264" w:lineRule="auto"/>
        <w:ind w:left="567"/>
        <w:rPr>
          <w:rFonts w:cs="Times New Roman"/>
          <w:szCs w:val="24"/>
        </w:rPr>
      </w:pPr>
      <w:r w:rsidRPr="00976BA4">
        <w:rPr>
          <w:rFonts w:cs="Times New Roman"/>
          <w:szCs w:val="24"/>
        </w:rPr>
        <w:t>Przedkładany projekt rozporządzenia nie jest objęty prawem Unii Europejskiej. Projekt określa wymagania dla tych lotnisk w Polsce, które nie podlegają wymaganiom unijnym. Przedmiotem regulacji są tu lotniska inne niż te, o których mowa w art. 4 ust. 3a</w:t>
      </w:r>
      <w:r w:rsidRPr="00976BA4">
        <w:rPr>
          <w:rFonts w:cs="Times New Roman"/>
          <w:i/>
          <w:szCs w:val="24"/>
        </w:rPr>
        <w:t xml:space="preserve"> „Rozporządzenia </w:t>
      </w:r>
      <w:r w:rsidRPr="00976BA4">
        <w:rPr>
          <w:rFonts w:cs="Times New Roman"/>
          <w:bCs/>
          <w:i/>
          <w:szCs w:val="24"/>
        </w:rPr>
        <w:t>Parlamentu Europejskiego i Rady (WE) NR 216/2008 z dnia 20 lutego 2008 r. w sprawie wspólnych zasad w zakresie lotnictwa cywilnego i utworzenia Europejskiej Agencji Bezpieczeństwa Lotniczego oraz uchylające dyrektywę Rady 91/670/EWG, rozporządzenie (WE) nr 1592/2002 i dyrektywę 2004/36/W</w:t>
      </w:r>
      <w:r w:rsidRPr="00976BA4">
        <w:rPr>
          <w:rFonts w:cs="Times New Roman"/>
          <w:bCs/>
          <w:szCs w:val="24"/>
        </w:rPr>
        <w:t>”.</w:t>
      </w:r>
    </w:p>
    <w:p w:rsidR="00B3089B" w:rsidRPr="00976BA4" w:rsidRDefault="00B3089B" w:rsidP="00B3089B">
      <w:pPr>
        <w:pStyle w:val="Akapitzlist"/>
        <w:numPr>
          <w:ilvl w:val="0"/>
          <w:numId w:val="1"/>
        </w:numPr>
        <w:shd w:val="clear" w:color="auto" w:fill="auto"/>
        <w:tabs>
          <w:tab w:val="left" w:pos="567"/>
        </w:tabs>
        <w:spacing w:line="264" w:lineRule="auto"/>
        <w:ind w:left="567" w:hanging="567"/>
        <w:contextualSpacing/>
        <w:jc w:val="both"/>
        <w:rPr>
          <w:b w:val="0"/>
          <w:sz w:val="24"/>
          <w:szCs w:val="24"/>
        </w:rPr>
      </w:pPr>
      <w:r w:rsidRPr="00976BA4">
        <w:rPr>
          <w:sz w:val="24"/>
          <w:szCs w:val="24"/>
        </w:rPr>
        <w:t>Ocena organu uprawnionego do opracowania projektu rozporządzenia, czy projekt ten podlega notyfikacji zgodnie z przepisami dotyczącymi funkcjonowania krajowego systemu notyfikacji norm i aktów prawnych.</w:t>
      </w:r>
    </w:p>
    <w:p w:rsidR="00B3089B" w:rsidRPr="00976BA4" w:rsidRDefault="00B3089B" w:rsidP="00B3089B">
      <w:pPr>
        <w:widowControl/>
        <w:tabs>
          <w:tab w:val="left" w:pos="567"/>
        </w:tabs>
        <w:spacing w:line="264" w:lineRule="auto"/>
        <w:ind w:left="567"/>
        <w:rPr>
          <w:rFonts w:cs="Times New Roman"/>
          <w:spacing w:val="-2"/>
          <w:szCs w:val="24"/>
        </w:rPr>
      </w:pPr>
      <w:r w:rsidRPr="00976BA4">
        <w:rPr>
          <w:rFonts w:cs="Times New Roman"/>
          <w:spacing w:val="-2"/>
          <w:szCs w:val="24"/>
        </w:rPr>
        <w:t>Regulacje zawarte w projektowanym rozporządzeniu nie stanowią przepisów technicznych w rozumieniu rozporządzenia Rady Ministrów z dnia 23 grudnia 2002 r. w sprawie sposobu funkcjonowania krajowego systemu notyfikacji norm i aktów prawnych (Dz. U. poz. 2039, z </w:t>
      </w:r>
      <w:proofErr w:type="spellStart"/>
      <w:r w:rsidRPr="00976BA4">
        <w:rPr>
          <w:rFonts w:cs="Times New Roman"/>
          <w:spacing w:val="-2"/>
          <w:szCs w:val="24"/>
        </w:rPr>
        <w:t>późn</w:t>
      </w:r>
      <w:proofErr w:type="spellEnd"/>
      <w:r w:rsidRPr="00976BA4">
        <w:rPr>
          <w:rFonts w:cs="Times New Roman"/>
          <w:spacing w:val="-2"/>
          <w:szCs w:val="24"/>
        </w:rPr>
        <w:t>. zm.), zatem nie podlega ono notyfikacji.</w:t>
      </w:r>
    </w:p>
    <w:p w:rsidR="00B3089B" w:rsidRDefault="00B3089B" w:rsidP="00B3089B">
      <w:pPr>
        <w:widowControl/>
        <w:tabs>
          <w:tab w:val="left" w:pos="567"/>
        </w:tabs>
        <w:spacing w:line="264" w:lineRule="auto"/>
        <w:ind w:left="567"/>
        <w:rPr>
          <w:rFonts w:cs="Times New Roman"/>
          <w:spacing w:val="-2"/>
          <w:szCs w:val="24"/>
        </w:rPr>
      </w:pPr>
    </w:p>
    <w:p w:rsidR="00B3089B" w:rsidRPr="00F91A8C" w:rsidRDefault="00B3089B" w:rsidP="00B3089B">
      <w:pPr>
        <w:widowControl/>
        <w:tabs>
          <w:tab w:val="left" w:pos="567"/>
        </w:tabs>
        <w:spacing w:line="264" w:lineRule="auto"/>
        <w:ind w:left="567"/>
        <w:rPr>
          <w:rFonts w:cs="Times New Roman"/>
          <w:spacing w:val="-2"/>
          <w:szCs w:val="24"/>
        </w:rPr>
      </w:pPr>
      <w:r w:rsidRPr="00F91A8C">
        <w:rPr>
          <w:rFonts w:cs="Times New Roman"/>
          <w:spacing w:val="-2"/>
          <w:szCs w:val="24"/>
        </w:rPr>
        <w:t>Zgodnie z § 52 ust. 1 uchwały Nr 190 Rady Ministrów z dnia 29 października 2013 r. – Regulamin pracy Rady Ministrów (M. P. z 2016 r. poz. 1006 i 1204) projekt zosta</w:t>
      </w:r>
      <w:r>
        <w:rPr>
          <w:rFonts w:cs="Times New Roman"/>
          <w:spacing w:val="-2"/>
          <w:szCs w:val="24"/>
        </w:rPr>
        <w:t>ł</w:t>
      </w:r>
      <w:r w:rsidRPr="00F91A8C">
        <w:rPr>
          <w:rFonts w:cs="Times New Roman"/>
          <w:spacing w:val="-2"/>
          <w:szCs w:val="24"/>
        </w:rPr>
        <w:t xml:space="preserve"> </w:t>
      </w:r>
      <w:r w:rsidRPr="00F91A8C">
        <w:rPr>
          <w:rFonts w:cs="Times New Roman"/>
          <w:spacing w:val="-2"/>
          <w:szCs w:val="24"/>
        </w:rPr>
        <w:lastRenderedPageBreak/>
        <w:t>udostępniony w Biuletynie Informacji Publicznej na stronie podmiotowej Rządowego Centrum Legislacji z chwilą przekazania do uzgodnień międzyresortowych i konsultacji publicznych.</w:t>
      </w:r>
    </w:p>
    <w:p w:rsidR="00064562" w:rsidRDefault="00064562"/>
    <w:sectPr w:rsidR="00064562" w:rsidSect="000645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62662"/>
    <w:multiLevelType w:val="hybridMultilevel"/>
    <w:tmpl w:val="7292BD9E"/>
    <w:lvl w:ilvl="0" w:tplc="04150017">
      <w:start w:val="1"/>
      <w:numFmt w:val="lowerLetter"/>
      <w:lvlText w:val="%1)"/>
      <w:lvlJc w:val="left"/>
      <w:pPr>
        <w:ind w:left="2422" w:hanging="360"/>
      </w:pPr>
    </w:lvl>
    <w:lvl w:ilvl="1" w:tplc="04150019" w:tentative="1">
      <w:start w:val="1"/>
      <w:numFmt w:val="lowerLetter"/>
      <w:lvlText w:val="%2."/>
      <w:lvlJc w:val="left"/>
      <w:pPr>
        <w:ind w:left="3142" w:hanging="360"/>
      </w:pPr>
    </w:lvl>
    <w:lvl w:ilvl="2" w:tplc="0415001B" w:tentative="1">
      <w:start w:val="1"/>
      <w:numFmt w:val="lowerRoman"/>
      <w:lvlText w:val="%3."/>
      <w:lvlJc w:val="right"/>
      <w:pPr>
        <w:ind w:left="3862" w:hanging="180"/>
      </w:pPr>
    </w:lvl>
    <w:lvl w:ilvl="3" w:tplc="0415000F" w:tentative="1">
      <w:start w:val="1"/>
      <w:numFmt w:val="decimal"/>
      <w:lvlText w:val="%4."/>
      <w:lvlJc w:val="left"/>
      <w:pPr>
        <w:ind w:left="4582" w:hanging="360"/>
      </w:pPr>
    </w:lvl>
    <w:lvl w:ilvl="4" w:tplc="04150019" w:tentative="1">
      <w:start w:val="1"/>
      <w:numFmt w:val="lowerLetter"/>
      <w:lvlText w:val="%5."/>
      <w:lvlJc w:val="left"/>
      <w:pPr>
        <w:ind w:left="5302" w:hanging="360"/>
      </w:pPr>
    </w:lvl>
    <w:lvl w:ilvl="5" w:tplc="0415001B" w:tentative="1">
      <w:start w:val="1"/>
      <w:numFmt w:val="lowerRoman"/>
      <w:lvlText w:val="%6."/>
      <w:lvlJc w:val="right"/>
      <w:pPr>
        <w:ind w:left="6022" w:hanging="180"/>
      </w:pPr>
    </w:lvl>
    <w:lvl w:ilvl="6" w:tplc="0415000F" w:tentative="1">
      <w:start w:val="1"/>
      <w:numFmt w:val="decimal"/>
      <w:lvlText w:val="%7."/>
      <w:lvlJc w:val="left"/>
      <w:pPr>
        <w:ind w:left="6742" w:hanging="360"/>
      </w:pPr>
    </w:lvl>
    <w:lvl w:ilvl="7" w:tplc="04150019" w:tentative="1">
      <w:start w:val="1"/>
      <w:numFmt w:val="lowerLetter"/>
      <w:lvlText w:val="%8."/>
      <w:lvlJc w:val="left"/>
      <w:pPr>
        <w:ind w:left="7462" w:hanging="360"/>
      </w:pPr>
    </w:lvl>
    <w:lvl w:ilvl="8" w:tplc="0415001B" w:tentative="1">
      <w:start w:val="1"/>
      <w:numFmt w:val="lowerRoman"/>
      <w:lvlText w:val="%9."/>
      <w:lvlJc w:val="right"/>
      <w:pPr>
        <w:ind w:left="8182" w:hanging="180"/>
      </w:pPr>
    </w:lvl>
  </w:abstractNum>
  <w:abstractNum w:abstractNumId="1">
    <w:nsid w:val="12463447"/>
    <w:multiLevelType w:val="hybridMultilevel"/>
    <w:tmpl w:val="1AF6C5BA"/>
    <w:lvl w:ilvl="0" w:tplc="04150011">
      <w:start w:val="1"/>
      <w:numFmt w:val="decimal"/>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
    <w:nsid w:val="31151D41"/>
    <w:multiLevelType w:val="hybridMultilevel"/>
    <w:tmpl w:val="740ED738"/>
    <w:lvl w:ilvl="0" w:tplc="9CB418A2">
      <w:start w:val="1"/>
      <w:numFmt w:val="decimal"/>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3">
    <w:nsid w:val="42087A2D"/>
    <w:multiLevelType w:val="hybridMultilevel"/>
    <w:tmpl w:val="B5F4D0BA"/>
    <w:lvl w:ilvl="0" w:tplc="872AC36C">
      <w:start w:val="1"/>
      <w:numFmt w:val="lowerLetter"/>
      <w:lvlText w:val="%1)"/>
      <w:lvlJc w:val="left"/>
      <w:pPr>
        <w:ind w:left="242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36D631C"/>
    <w:multiLevelType w:val="hybridMultilevel"/>
    <w:tmpl w:val="F51CCCB6"/>
    <w:lvl w:ilvl="0" w:tplc="AA3A27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564D1783"/>
    <w:multiLevelType w:val="hybridMultilevel"/>
    <w:tmpl w:val="785A9BB8"/>
    <w:lvl w:ilvl="0" w:tplc="04150017">
      <w:start w:val="1"/>
      <w:numFmt w:val="lowerLetter"/>
      <w:lvlText w:val="%1)"/>
      <w:lvlJc w:val="left"/>
      <w:pPr>
        <w:ind w:left="1854" w:hanging="360"/>
      </w:pPr>
      <w:rPr>
        <w:rFont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89B"/>
    <w:rsid w:val="0004107F"/>
    <w:rsid w:val="00064562"/>
    <w:rsid w:val="00122060"/>
    <w:rsid w:val="004F1600"/>
    <w:rsid w:val="00B3089B"/>
    <w:rsid w:val="00CE7C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3089B"/>
    <w:pPr>
      <w:widowControl w:val="0"/>
      <w:suppressAutoHyphens/>
      <w:autoSpaceDE w:val="0"/>
      <w:autoSpaceDN w:val="0"/>
      <w:spacing w:after="120" w:line="240" w:lineRule="auto"/>
      <w:textAlignment w:val="baseline"/>
    </w:pPr>
    <w:rPr>
      <w:rFonts w:ascii="Times New Roman" w:eastAsia="Times New Roman" w:hAnsi="Times New Roman" w:cs="Arial"/>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1_RK"/>
    <w:basedOn w:val="Normalny"/>
    <w:next w:val="Normalny"/>
    <w:autoRedefine/>
    <w:uiPriority w:val="34"/>
    <w:qFormat/>
    <w:rsid w:val="00B3089B"/>
    <w:pPr>
      <w:widowControl/>
      <w:shd w:val="clear" w:color="auto" w:fill="DAEEF3" w:themeFill="accent5" w:themeFillTint="33"/>
      <w:suppressAutoHyphens w:val="0"/>
      <w:autoSpaceDE/>
      <w:autoSpaceDN/>
      <w:spacing w:before="240" w:line="276" w:lineRule="auto"/>
      <w:jc w:val="left"/>
      <w:textAlignment w:val="auto"/>
    </w:pPr>
    <w:rPr>
      <w:rFonts w:cs="Times New Roman"/>
      <w:b/>
      <w:bCs/>
      <w: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3089B"/>
    <w:pPr>
      <w:widowControl w:val="0"/>
      <w:suppressAutoHyphens/>
      <w:autoSpaceDE w:val="0"/>
      <w:autoSpaceDN w:val="0"/>
      <w:spacing w:after="120" w:line="240" w:lineRule="auto"/>
      <w:textAlignment w:val="baseline"/>
    </w:pPr>
    <w:rPr>
      <w:rFonts w:ascii="Times New Roman" w:eastAsia="Times New Roman" w:hAnsi="Times New Roman" w:cs="Arial"/>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1_RK"/>
    <w:basedOn w:val="Normalny"/>
    <w:next w:val="Normalny"/>
    <w:autoRedefine/>
    <w:uiPriority w:val="34"/>
    <w:qFormat/>
    <w:rsid w:val="00B3089B"/>
    <w:pPr>
      <w:widowControl/>
      <w:shd w:val="clear" w:color="auto" w:fill="DAEEF3" w:themeFill="accent5" w:themeFillTint="33"/>
      <w:suppressAutoHyphens w:val="0"/>
      <w:autoSpaceDE/>
      <w:autoSpaceDN/>
      <w:spacing w:before="240" w:line="276" w:lineRule="auto"/>
      <w:jc w:val="left"/>
      <w:textAlignment w:val="auto"/>
    </w:pPr>
    <w:rPr>
      <w:rFonts w:cs="Times New Roman"/>
      <w:b/>
      <w:bCs/>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3266</Words>
  <Characters>19596</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mstokowski</dc:creator>
  <cp:lastModifiedBy>Babiak Agnieszka</cp:lastModifiedBy>
  <cp:revision>2</cp:revision>
  <dcterms:created xsi:type="dcterms:W3CDTF">2017-11-23T10:01:00Z</dcterms:created>
  <dcterms:modified xsi:type="dcterms:W3CDTF">2017-11-23T10:01:00Z</dcterms:modified>
</cp:coreProperties>
</file>