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4676B" w14:textId="64DA8881" w:rsidR="0009689F" w:rsidRPr="004802A7" w:rsidRDefault="0009689F" w:rsidP="004802A7">
      <w:pPr>
        <w:pStyle w:val="Nagwek1"/>
        <w:rPr>
          <w:rFonts w:ascii="Times New Roman" w:hAnsi="Times New Roman"/>
          <w:sz w:val="28"/>
        </w:rPr>
      </w:pPr>
      <w:bookmarkStart w:id="0" w:name="_GoBack"/>
      <w:bookmarkEnd w:id="0"/>
      <w:r w:rsidRPr="004802A7">
        <w:rPr>
          <w:rFonts w:ascii="Times New Roman" w:hAnsi="Times New Roman"/>
          <w:sz w:val="28"/>
        </w:rPr>
        <w:t>Uzasadnienie</w:t>
      </w:r>
    </w:p>
    <w:p w14:paraId="36584CE9" w14:textId="77777777" w:rsidR="0009689F" w:rsidRPr="004802A7" w:rsidRDefault="0009689F" w:rsidP="00FB18D8">
      <w:pPr>
        <w:pStyle w:val="Nagwek2"/>
        <w:spacing w:before="360"/>
        <w:rPr>
          <w:rStyle w:val="Ppogrubienie"/>
          <w:szCs w:val="24"/>
        </w:rPr>
      </w:pPr>
      <w:r w:rsidRPr="004802A7">
        <w:rPr>
          <w:rStyle w:val="Ppogrubienie"/>
          <w:szCs w:val="24"/>
        </w:rPr>
        <w:t xml:space="preserve">I. </w:t>
      </w:r>
      <w:r w:rsidRPr="004802A7">
        <w:rPr>
          <w:rStyle w:val="Ppogrubienie"/>
          <w:szCs w:val="24"/>
        </w:rPr>
        <w:tab/>
        <w:t>Wyjaśnienie potrzeby i celu nowelizowania rozporządzenia</w:t>
      </w:r>
    </w:p>
    <w:p w14:paraId="748B577D" w14:textId="4DE0E246" w:rsidR="0009689F" w:rsidRPr="004802A7" w:rsidRDefault="00146ECD" w:rsidP="00FB18D8">
      <w:pPr>
        <w:spacing w:line="288" w:lineRule="auto"/>
        <w:rPr>
          <w:rFonts w:eastAsia="Calibri" w:cs="Times New Roman"/>
          <w:color w:val="auto"/>
          <w:szCs w:val="24"/>
        </w:rPr>
      </w:pPr>
      <w:r w:rsidRPr="004802A7">
        <w:rPr>
          <w:rFonts w:eastAsia="Calibri" w:cs="Times New Roman"/>
          <w:color w:val="auto"/>
          <w:szCs w:val="24"/>
        </w:rPr>
        <w:t>Nowelizacja</w:t>
      </w:r>
      <w:r w:rsidR="00431018" w:rsidRPr="004802A7">
        <w:rPr>
          <w:rFonts w:eastAsia="Calibri" w:cs="Times New Roman"/>
          <w:color w:val="auto"/>
          <w:szCs w:val="24"/>
        </w:rPr>
        <w:t xml:space="preserve"> </w:t>
      </w:r>
      <w:r w:rsidR="004C7D93" w:rsidRPr="00E26D73">
        <w:rPr>
          <w:rFonts w:eastAsia="Calibri" w:cs="Times New Roman"/>
          <w:color w:val="auto"/>
          <w:szCs w:val="24"/>
        </w:rPr>
        <w:t>r</w:t>
      </w:r>
      <w:r w:rsidR="008F25F5" w:rsidRPr="00E26D73">
        <w:rPr>
          <w:rFonts w:eastAsia="Calibri" w:cs="Times New Roman"/>
          <w:color w:val="auto"/>
          <w:szCs w:val="24"/>
        </w:rPr>
        <w:t xml:space="preserve">ozporządzenia Ministra Infrastruktury </w:t>
      </w:r>
      <w:bookmarkStart w:id="1" w:name="highlightHit_1"/>
      <w:bookmarkEnd w:id="1"/>
      <w:r w:rsidR="008F25F5" w:rsidRPr="00E26D73">
        <w:rPr>
          <w:rFonts w:eastAsia="Calibri" w:cs="Times New Roman"/>
          <w:color w:val="auto"/>
          <w:szCs w:val="24"/>
        </w:rPr>
        <w:t>z dnia 7 czerwca 2018 r.</w:t>
      </w:r>
      <w:r w:rsidR="008F25F5" w:rsidRPr="004802A7">
        <w:rPr>
          <w:rFonts w:eastAsia="Calibri" w:cs="Times New Roman"/>
          <w:i/>
          <w:color w:val="auto"/>
          <w:szCs w:val="24"/>
        </w:rPr>
        <w:t xml:space="preserve"> w </w:t>
      </w:r>
      <w:bookmarkStart w:id="2" w:name="highlightHit_2"/>
      <w:bookmarkEnd w:id="2"/>
      <w:r w:rsidR="008F25F5" w:rsidRPr="004802A7">
        <w:rPr>
          <w:rFonts w:eastAsia="Calibri" w:cs="Times New Roman"/>
          <w:i/>
          <w:color w:val="auto"/>
          <w:szCs w:val="24"/>
        </w:rPr>
        <w:t xml:space="preserve">sprawie </w:t>
      </w:r>
      <w:bookmarkStart w:id="3" w:name="highlightHit_3"/>
      <w:bookmarkEnd w:id="3"/>
      <w:r w:rsidR="008F25F5" w:rsidRPr="004802A7">
        <w:rPr>
          <w:rFonts w:eastAsia="Calibri" w:cs="Times New Roman"/>
          <w:i/>
          <w:color w:val="auto"/>
          <w:szCs w:val="24"/>
        </w:rPr>
        <w:t xml:space="preserve">wymagań </w:t>
      </w:r>
      <w:bookmarkStart w:id="4" w:name="highlightHit_4"/>
      <w:bookmarkEnd w:id="4"/>
      <w:r w:rsidR="008F25F5" w:rsidRPr="004802A7">
        <w:rPr>
          <w:rFonts w:eastAsia="Calibri" w:cs="Times New Roman"/>
          <w:i/>
          <w:color w:val="auto"/>
          <w:szCs w:val="24"/>
        </w:rPr>
        <w:t xml:space="preserve">technicznych </w:t>
      </w:r>
      <w:bookmarkStart w:id="5" w:name="highlightHit_5"/>
      <w:bookmarkEnd w:id="5"/>
      <w:r w:rsidR="008F25F5" w:rsidRPr="004802A7">
        <w:rPr>
          <w:rFonts w:eastAsia="Calibri" w:cs="Times New Roman"/>
          <w:i/>
          <w:color w:val="auto"/>
          <w:szCs w:val="24"/>
        </w:rPr>
        <w:t xml:space="preserve">i </w:t>
      </w:r>
      <w:bookmarkStart w:id="6" w:name="highlightHit_6"/>
      <w:bookmarkEnd w:id="6"/>
      <w:r w:rsidR="008F25F5" w:rsidRPr="004802A7">
        <w:rPr>
          <w:rFonts w:eastAsia="Calibri" w:cs="Times New Roman"/>
          <w:i/>
          <w:color w:val="auto"/>
          <w:szCs w:val="24"/>
        </w:rPr>
        <w:t xml:space="preserve">eksploatacyjnych </w:t>
      </w:r>
      <w:bookmarkStart w:id="7" w:name="highlightHit_7"/>
      <w:bookmarkEnd w:id="7"/>
      <w:r w:rsidR="008F25F5" w:rsidRPr="004802A7">
        <w:rPr>
          <w:rFonts w:eastAsia="Calibri" w:cs="Times New Roman"/>
          <w:i/>
          <w:color w:val="auto"/>
          <w:szCs w:val="24"/>
        </w:rPr>
        <w:t xml:space="preserve">dla </w:t>
      </w:r>
      <w:bookmarkStart w:id="8" w:name="highlightHit_8"/>
      <w:bookmarkEnd w:id="8"/>
      <w:r w:rsidR="008F25F5" w:rsidRPr="004802A7">
        <w:rPr>
          <w:rFonts w:eastAsia="Calibri" w:cs="Times New Roman"/>
          <w:i/>
          <w:color w:val="auto"/>
          <w:szCs w:val="24"/>
        </w:rPr>
        <w:t xml:space="preserve">lotnisk </w:t>
      </w:r>
      <w:bookmarkStart w:id="9" w:name="highlightHit_9"/>
      <w:bookmarkEnd w:id="9"/>
      <w:r w:rsidR="008F25F5" w:rsidRPr="004802A7">
        <w:rPr>
          <w:rFonts w:eastAsia="Calibri" w:cs="Times New Roman"/>
          <w:i/>
          <w:color w:val="auto"/>
          <w:szCs w:val="24"/>
        </w:rPr>
        <w:t xml:space="preserve">użytku </w:t>
      </w:r>
      <w:bookmarkStart w:id="10" w:name="highlightHit_10"/>
      <w:bookmarkEnd w:id="10"/>
      <w:r w:rsidR="008F25F5" w:rsidRPr="004802A7">
        <w:rPr>
          <w:rFonts w:eastAsia="Calibri" w:cs="Times New Roman"/>
          <w:i/>
          <w:color w:val="auto"/>
          <w:szCs w:val="24"/>
        </w:rPr>
        <w:t xml:space="preserve">wyłącznego oraz sposobu </w:t>
      </w:r>
      <w:bookmarkStart w:id="11" w:name="highlightHit_11"/>
      <w:bookmarkEnd w:id="11"/>
      <w:r w:rsidR="008F25F5" w:rsidRPr="004802A7">
        <w:rPr>
          <w:rFonts w:eastAsia="Calibri" w:cs="Times New Roman"/>
          <w:i/>
          <w:color w:val="auto"/>
          <w:szCs w:val="24"/>
        </w:rPr>
        <w:t xml:space="preserve">i trybu przeprowadzania kontroli sprawdzającej </w:t>
      </w:r>
      <w:r w:rsidR="00EE3F62" w:rsidRPr="004802A7">
        <w:rPr>
          <w:rFonts w:eastAsia="Calibri" w:cs="Times New Roman"/>
          <w:color w:val="auto"/>
          <w:szCs w:val="24"/>
        </w:rPr>
        <w:t xml:space="preserve">(Dz. U. z 2020 r. poz. 260) </w:t>
      </w:r>
      <w:r w:rsidR="002F19D3" w:rsidRPr="004802A7">
        <w:rPr>
          <w:rFonts w:eastAsia="Calibri" w:cs="Times New Roman"/>
          <w:color w:val="auto"/>
          <w:szCs w:val="24"/>
        </w:rPr>
        <w:t xml:space="preserve">wynika przede wszystkim z konieczności wdrożenia do krajowego systemu prawnego najnowszych zmian wprowadzonych przez Radę Organizacji Międzynarodowego Lotnictwa Cywilnego </w:t>
      </w:r>
      <w:r w:rsidR="0009689F" w:rsidRPr="004802A7">
        <w:rPr>
          <w:rFonts w:eastAsia="Calibri" w:cs="Times New Roman"/>
          <w:color w:val="auto"/>
          <w:szCs w:val="24"/>
        </w:rPr>
        <w:t>(ICAO) do Załącznika 14 do Konwencji o</w:t>
      </w:r>
      <w:r w:rsidR="00992301" w:rsidRPr="004802A7">
        <w:rPr>
          <w:rFonts w:eastAsia="Calibri" w:cs="Times New Roman"/>
          <w:color w:val="auto"/>
          <w:szCs w:val="24"/>
        </w:rPr>
        <w:t xml:space="preserve"> </w:t>
      </w:r>
      <w:r w:rsidR="0009689F" w:rsidRPr="004802A7">
        <w:rPr>
          <w:rFonts w:eastAsia="Calibri" w:cs="Times New Roman"/>
          <w:color w:val="auto"/>
          <w:szCs w:val="24"/>
        </w:rPr>
        <w:t>międzynarodowym lotn</w:t>
      </w:r>
      <w:r w:rsidR="005C1820" w:rsidRPr="004802A7">
        <w:rPr>
          <w:rFonts w:eastAsia="Calibri" w:cs="Times New Roman"/>
          <w:color w:val="auto"/>
          <w:szCs w:val="24"/>
        </w:rPr>
        <w:t>ictwie cywilnym, sporządzonej w</w:t>
      </w:r>
      <w:r w:rsidR="00FB18D8" w:rsidRPr="004802A7">
        <w:rPr>
          <w:rFonts w:eastAsia="Calibri" w:cs="Times New Roman"/>
          <w:color w:val="auto"/>
          <w:szCs w:val="24"/>
        </w:rPr>
        <w:t> </w:t>
      </w:r>
      <w:r w:rsidR="0009689F" w:rsidRPr="004802A7">
        <w:rPr>
          <w:rFonts w:eastAsia="Calibri" w:cs="Times New Roman"/>
          <w:color w:val="auto"/>
          <w:szCs w:val="24"/>
        </w:rPr>
        <w:t>Chicago dnia 7 grudnia 1944 r. (Dz. U. z 1959 r. poz. 212, z późn. zm.), zwanej dalej „Konwencją”, Tom</w:t>
      </w:r>
      <w:r w:rsidR="00992301" w:rsidRPr="004802A7">
        <w:rPr>
          <w:rFonts w:eastAsia="Calibri" w:cs="Times New Roman"/>
          <w:color w:val="auto"/>
          <w:szCs w:val="24"/>
        </w:rPr>
        <w:t xml:space="preserve"> </w:t>
      </w:r>
      <w:r w:rsidR="0009689F" w:rsidRPr="004802A7">
        <w:rPr>
          <w:rFonts w:eastAsia="Calibri" w:cs="Times New Roman"/>
          <w:color w:val="auto"/>
          <w:szCs w:val="24"/>
        </w:rPr>
        <w:t>I „Projektowanie i</w:t>
      </w:r>
      <w:r w:rsidR="00992301" w:rsidRPr="004802A7">
        <w:rPr>
          <w:rFonts w:eastAsia="Calibri" w:cs="Times New Roman"/>
          <w:color w:val="auto"/>
          <w:szCs w:val="24"/>
        </w:rPr>
        <w:t xml:space="preserve"> </w:t>
      </w:r>
      <w:r w:rsidR="0009689F" w:rsidRPr="004802A7">
        <w:rPr>
          <w:rFonts w:eastAsia="Calibri" w:cs="Times New Roman"/>
          <w:color w:val="auto"/>
          <w:szCs w:val="24"/>
        </w:rPr>
        <w:t>eksploatacja lotnisk” i Tom II „Lotniska dla śmigłowców”.</w:t>
      </w:r>
    </w:p>
    <w:p w14:paraId="304D42B4" w14:textId="77777777" w:rsidR="00146ECD" w:rsidRPr="004802A7" w:rsidRDefault="00146ECD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eastAsia="Calibri" w:hAnsi="Times New Roman" w:cs="Times New Roman"/>
          <w:szCs w:val="24"/>
        </w:rPr>
      </w:pPr>
      <w:r w:rsidRPr="004802A7">
        <w:rPr>
          <w:rFonts w:ascii="Times New Roman" w:eastAsia="Calibri" w:hAnsi="Times New Roman" w:cs="Times New Roman"/>
          <w:szCs w:val="24"/>
        </w:rPr>
        <w:t>Niniejszy projekt ma na celu:</w:t>
      </w:r>
      <w:r w:rsidRPr="004802A7">
        <w:rPr>
          <w:rFonts w:ascii="Times New Roman" w:hAnsi="Times New Roman" w:cs="Times New Roman"/>
          <w:szCs w:val="24"/>
        </w:rPr>
        <w:t xml:space="preserve"> </w:t>
      </w:r>
    </w:p>
    <w:p w14:paraId="1F04B1F5" w14:textId="77777777" w:rsidR="00146ECD" w:rsidRPr="004802A7" w:rsidRDefault="00146ECD" w:rsidP="00FB18D8">
      <w:pPr>
        <w:tabs>
          <w:tab w:val="left" w:pos="567"/>
        </w:tabs>
        <w:spacing w:line="288" w:lineRule="auto"/>
        <w:ind w:left="567" w:hanging="567"/>
        <w:rPr>
          <w:rFonts w:cs="Times New Roman"/>
          <w:color w:val="auto"/>
          <w:szCs w:val="24"/>
        </w:rPr>
      </w:pPr>
      <w:r w:rsidRPr="004802A7">
        <w:rPr>
          <w:rFonts w:cs="Times New Roman"/>
          <w:color w:val="auto"/>
          <w:szCs w:val="24"/>
        </w:rPr>
        <w:t xml:space="preserve">1) </w:t>
      </w:r>
      <w:r w:rsidRPr="004802A7">
        <w:rPr>
          <w:rFonts w:cs="Times New Roman"/>
          <w:color w:val="auto"/>
          <w:szCs w:val="24"/>
        </w:rPr>
        <w:tab/>
        <w:t>wdrożenie</w:t>
      </w:r>
      <w:r w:rsidRPr="004802A7">
        <w:rPr>
          <w:rFonts w:eastAsia="Calibri" w:cs="Times New Roman"/>
          <w:color w:val="auto"/>
          <w:szCs w:val="24"/>
        </w:rPr>
        <w:t xml:space="preserve"> </w:t>
      </w:r>
      <w:r w:rsidRPr="004802A7">
        <w:rPr>
          <w:rFonts w:cs="Times New Roman"/>
          <w:color w:val="auto"/>
          <w:szCs w:val="24"/>
        </w:rPr>
        <w:t>zmiany nr 13B i 15 i 16 do Załącznika 14 Tom I, oraz zmiany nr 9 do Tomu II;</w:t>
      </w:r>
    </w:p>
    <w:p w14:paraId="3604AEFF" w14:textId="3A3DAFAF" w:rsidR="00146ECD" w:rsidRPr="004802A7" w:rsidRDefault="00BA6678" w:rsidP="00FB18D8">
      <w:pPr>
        <w:pStyle w:val="xmsonormal"/>
        <w:spacing w:before="0" w:beforeAutospacing="0" w:after="120" w:afterAutospacing="0" w:line="288" w:lineRule="auto"/>
        <w:ind w:left="567" w:hanging="567"/>
        <w:jc w:val="both"/>
      </w:pPr>
      <w:r w:rsidRPr="004802A7">
        <w:t>2</w:t>
      </w:r>
      <w:r w:rsidR="00146ECD" w:rsidRPr="004802A7">
        <w:t xml:space="preserve">) </w:t>
      </w:r>
      <w:r w:rsidR="00146ECD" w:rsidRPr="004802A7">
        <w:tab/>
        <w:t>uproszczenie i doprecyzowanie niektórych przepisów zmienianego rozporządzenia oraz ujednolicenie wybranych określeń zgodnie z aktualnym tłumaczeniem Załącznika 14.</w:t>
      </w:r>
    </w:p>
    <w:p w14:paraId="6CBA4BF1" w14:textId="77777777" w:rsidR="00146ECD" w:rsidRPr="004802A7" w:rsidRDefault="00146ECD" w:rsidP="004802A7">
      <w:pPr>
        <w:spacing w:line="288" w:lineRule="auto"/>
        <w:rPr>
          <w:rFonts w:cs="Times New Roman"/>
          <w:szCs w:val="24"/>
        </w:rPr>
      </w:pPr>
      <w:r w:rsidRPr="004802A7">
        <w:rPr>
          <w:rFonts w:cs="Times New Roman"/>
          <w:szCs w:val="24"/>
        </w:rPr>
        <w:t>Zmiany do Załącznika 14 Tom 1 dotyczą niżej wymienionych kwestii.</w:t>
      </w:r>
    </w:p>
    <w:p w14:paraId="42005E8D" w14:textId="30457A58" w:rsidR="00146ECD" w:rsidRPr="004802A7" w:rsidRDefault="00146ECD" w:rsidP="004E7395">
      <w:pPr>
        <w:pStyle w:val="xmsonormal"/>
        <w:spacing w:before="0" w:beforeAutospacing="0" w:after="120" w:afterAutospacing="0" w:line="288" w:lineRule="auto"/>
        <w:ind w:left="426"/>
        <w:jc w:val="both"/>
        <w:rPr>
          <w:rFonts w:eastAsia="Calibri"/>
        </w:rPr>
      </w:pPr>
      <w:r w:rsidRPr="004802A7">
        <w:rPr>
          <w:b/>
        </w:rPr>
        <w:t>Zmiana 13B</w:t>
      </w:r>
      <w:r w:rsidRPr="004802A7">
        <w:t xml:space="preserve"> została wprowadzona pismem ICAO State Letter nr AN 4/1.2.26-16/19 z dnia 5 lutego 2016 r. </w:t>
      </w:r>
      <w:r w:rsidR="00C64542">
        <w:rPr>
          <w:rFonts w:eastAsia="Calibri"/>
        </w:rPr>
        <w:t>Ustanawia ona</w:t>
      </w:r>
      <w:r w:rsidR="00C64542" w:rsidRPr="004802A7">
        <w:rPr>
          <w:rFonts w:eastAsia="Calibri"/>
        </w:rPr>
        <w:t xml:space="preserve"> </w:t>
      </w:r>
      <w:r w:rsidRPr="004802A7">
        <w:rPr>
          <w:rFonts w:eastAsia="Calibri"/>
        </w:rPr>
        <w:t>nowe wymagania dotyczące tzw. globalnego</w:t>
      </w:r>
      <w:r w:rsidRPr="004802A7">
        <w:rPr>
          <w:rFonts w:eastAsiaTheme="minorEastAsia"/>
        </w:rPr>
        <w:t xml:space="preserve"> formatu raportowania</w:t>
      </w:r>
      <w:r w:rsidRPr="004802A7">
        <w:t xml:space="preserve"> (global reporting format − GRF), czyli nowego sposobu oceny warunków panujących na nawierzchni drogi startowej (pokrycie śniegiem, lodem, itp.) oraz zgłaszania (raportowania) tych informacji do Służb Informacji Lotniczej (AIS) celem publikowania depeszy z informacją dla pilotów − SNOWTAM. </w:t>
      </w:r>
    </w:p>
    <w:p w14:paraId="5AF23052" w14:textId="46B351D4" w:rsidR="00146ECD" w:rsidRPr="004802A7" w:rsidRDefault="00146ECD" w:rsidP="004E7395">
      <w:pPr>
        <w:pStyle w:val="xmsonormal"/>
        <w:spacing w:before="0" w:beforeAutospacing="0" w:after="120" w:afterAutospacing="0" w:line="288" w:lineRule="auto"/>
        <w:ind w:left="426"/>
        <w:jc w:val="both"/>
        <w:rPr>
          <w:lang w:eastAsia="en-GB"/>
        </w:rPr>
      </w:pPr>
      <w:r w:rsidRPr="004802A7">
        <w:rPr>
          <w:b/>
        </w:rPr>
        <w:t>Zmiana 15</w:t>
      </w:r>
      <w:r w:rsidRPr="004802A7">
        <w:t xml:space="preserve"> została wprowadzona pismem ICAO State Letter nr AN 4/1.2.28-20/35 z dnia 3 kwietnia 2020 r. </w:t>
      </w:r>
      <w:r w:rsidR="00C64542">
        <w:t>Ustanawia</w:t>
      </w:r>
      <w:r w:rsidR="00C64542" w:rsidRPr="004802A7">
        <w:t xml:space="preserve"> </w:t>
      </w:r>
      <w:r w:rsidRPr="004802A7">
        <w:t xml:space="preserve">ona nowe wymagania dotyczące: opracowania planów generalnych dla lotnisk, określania nośności nawierzchni sztucznych dróg startowych metodą ACR/PCR oraz kilka drobnych zmian dotyczących: </w:t>
      </w:r>
      <w:r w:rsidRPr="004802A7">
        <w:rPr>
          <w:lang w:eastAsia="en-GB"/>
        </w:rPr>
        <w:t>instalowania poprzeczki zatrzymania w miejscu oczekiwania przed drogą startową, sposobu oznakowania lokalizacji poprzeczki zakazu wjazdu, instalowania świateł linii środkowej drogi kołowani poza poprzeczką zakazu wjazdu oraz zmniejszenia wymiarów znaków pionowych i napisów na znakach.</w:t>
      </w:r>
    </w:p>
    <w:p w14:paraId="1834ACCF" w14:textId="685716F1" w:rsidR="00146ECD" w:rsidRPr="004802A7" w:rsidRDefault="00146ECD" w:rsidP="004E7395">
      <w:pPr>
        <w:pStyle w:val="xmsonormal"/>
        <w:spacing w:before="0" w:beforeAutospacing="0" w:after="120" w:afterAutospacing="0" w:line="288" w:lineRule="auto"/>
        <w:ind w:left="426"/>
        <w:jc w:val="both"/>
        <w:rPr>
          <w:lang w:eastAsia="en-GB"/>
        </w:rPr>
      </w:pPr>
      <w:r w:rsidRPr="004802A7">
        <w:rPr>
          <w:b/>
        </w:rPr>
        <w:t>Zmiana</w:t>
      </w:r>
      <w:r w:rsidRPr="004802A7">
        <w:rPr>
          <w:b/>
          <w:lang w:eastAsia="en-GB"/>
        </w:rPr>
        <w:t xml:space="preserve"> 16</w:t>
      </w:r>
      <w:r w:rsidRPr="004802A7">
        <w:rPr>
          <w:lang w:eastAsia="en-GB"/>
        </w:rPr>
        <w:t xml:space="preserve"> wprowadzona w 2020 r. ma charakter porządkowy i </w:t>
      </w:r>
      <w:r w:rsidR="00C64542">
        <w:rPr>
          <w:lang w:eastAsia="en-GB"/>
        </w:rPr>
        <w:t>dotyczy</w:t>
      </w:r>
      <w:r w:rsidR="00C64542" w:rsidRPr="00C50E41">
        <w:rPr>
          <w:lang w:eastAsia="en-GB"/>
        </w:rPr>
        <w:t xml:space="preserve"> </w:t>
      </w:r>
      <w:r w:rsidRPr="004802A7">
        <w:rPr>
          <w:lang w:eastAsia="en-GB"/>
        </w:rPr>
        <w:t>tylko termin</w:t>
      </w:r>
      <w:r w:rsidR="00C64542">
        <w:rPr>
          <w:lang w:eastAsia="en-GB"/>
        </w:rPr>
        <w:t>u</w:t>
      </w:r>
      <w:r w:rsidRPr="004802A7">
        <w:rPr>
          <w:lang w:eastAsia="en-GB"/>
        </w:rPr>
        <w:t xml:space="preserve"> wdrożenia GRF z dania 5 listopada 2020 r. na 4 listopada 2021 r.</w:t>
      </w:r>
    </w:p>
    <w:p w14:paraId="37D62DB5" w14:textId="77777777" w:rsidR="00146ECD" w:rsidRPr="004802A7" w:rsidRDefault="00146ECD" w:rsidP="004E7395">
      <w:pPr>
        <w:pStyle w:val="xmsonormal"/>
        <w:spacing w:before="0" w:beforeAutospacing="0" w:after="120" w:afterAutospacing="0" w:line="288" w:lineRule="auto"/>
        <w:ind w:left="426"/>
        <w:jc w:val="both"/>
      </w:pPr>
      <w:r w:rsidRPr="004802A7">
        <w:rPr>
          <w:b/>
        </w:rPr>
        <w:t>Zmiana 9</w:t>
      </w:r>
      <w:r w:rsidRPr="004802A7">
        <w:t xml:space="preserve"> do Załącznika 14 </w:t>
      </w:r>
      <w:r w:rsidRPr="004D62EE">
        <w:t>Tom II wpr</w:t>
      </w:r>
      <w:r w:rsidRPr="004802A7">
        <w:t xml:space="preserve">owadzona pismem ICAO State Letter nr AN 4/16.10-20/22 z dnia 6 kwietnia 2020 r. wprowadza szereg nowych, istotnych wymagań dotyczących, m.in.: projektowania i eksploatacji lotnisk dla śmigłowców w tym nowych definicji i wymagań dotyczących „lotnisk dla śmigłowców na lądzie”, projektu D, wartości </w:t>
      </w:r>
      <w:r w:rsidRPr="004802A7">
        <w:lastRenderedPageBreak/>
        <w:t>D, dynamicznej powierzchni nośnej, wydłużonego stanowiska postojowego śmigłowca, drogi i trasy kołowania śmigłowca, punktu odniesienia lotniska, obszaru ochronnego, okręgu ustawienia pozycji przyziemienia i jego oznaczenia, charakterystyk fizycznych, pomocy wzrokowych oraz służby ratowniczo-gaśniczej.</w:t>
      </w:r>
    </w:p>
    <w:p w14:paraId="740748B1" w14:textId="216D9BE4" w:rsidR="00C468B6" w:rsidRPr="004802A7" w:rsidRDefault="00C20130" w:rsidP="00FB18D8">
      <w:pPr>
        <w:spacing w:before="240" w:line="288" w:lineRule="auto"/>
        <w:rPr>
          <w:rFonts w:eastAsia="Calibri" w:cs="Times New Roman"/>
          <w:color w:val="auto"/>
          <w:szCs w:val="24"/>
        </w:rPr>
      </w:pPr>
      <w:r w:rsidRPr="004802A7">
        <w:rPr>
          <w:rFonts w:eastAsia="Calibri" w:cs="Times New Roman"/>
          <w:color w:val="auto"/>
          <w:szCs w:val="24"/>
        </w:rPr>
        <w:t>Projektowana zmiana rozporządzenia wydanego na podstawie art. 59a ust. 7 ustawy z dnia 3 lipca 2002 r. – Prawo lotnicze (</w:t>
      </w:r>
      <w:r w:rsidR="00C77AA5" w:rsidRPr="007B76CD">
        <w:rPr>
          <w:rFonts w:cs="Times New Roman"/>
          <w:szCs w:val="24"/>
        </w:rPr>
        <w:t>Dz. U. z 202</w:t>
      </w:r>
      <w:r w:rsidR="00C77AA5">
        <w:rPr>
          <w:rFonts w:cs="Times New Roman"/>
          <w:szCs w:val="24"/>
        </w:rPr>
        <w:t>2</w:t>
      </w:r>
      <w:r w:rsidR="00C77AA5" w:rsidRPr="007B76CD">
        <w:rPr>
          <w:rFonts w:cs="Times New Roman"/>
          <w:szCs w:val="24"/>
        </w:rPr>
        <w:t xml:space="preserve"> r. poz. </w:t>
      </w:r>
      <w:r w:rsidR="00C77AA5">
        <w:rPr>
          <w:rFonts w:cs="Times New Roman"/>
          <w:szCs w:val="24"/>
        </w:rPr>
        <w:t>1235</w:t>
      </w:r>
      <w:r w:rsidRPr="004802A7">
        <w:rPr>
          <w:rFonts w:eastAsia="Calibri" w:cs="Times New Roman"/>
          <w:color w:val="auto"/>
          <w:szCs w:val="24"/>
        </w:rPr>
        <w:t xml:space="preserve">), zwanej dalej </w:t>
      </w:r>
      <w:r w:rsidRPr="004802A7">
        <w:rPr>
          <w:rFonts w:cs="Times New Roman"/>
          <w:szCs w:val="24"/>
        </w:rPr>
        <w:t>ustawą – Prawo lotnicze</w:t>
      </w:r>
      <w:r w:rsidRPr="004802A7">
        <w:rPr>
          <w:rFonts w:eastAsia="Calibri" w:cs="Times New Roman"/>
          <w:color w:val="auto"/>
          <w:szCs w:val="24"/>
        </w:rPr>
        <w:t xml:space="preserve">, powinna wejść w życie jednocześnie z nowelizacją rozporządzenia wydanego na podstawie art. 59a ust. 5 </w:t>
      </w:r>
      <w:r w:rsidRPr="004802A7">
        <w:rPr>
          <w:rFonts w:cs="Times New Roman"/>
          <w:szCs w:val="24"/>
        </w:rPr>
        <w:t xml:space="preserve">ustawy – Prawo lotnicze </w:t>
      </w:r>
      <w:r w:rsidRPr="004802A7">
        <w:rPr>
          <w:rFonts w:eastAsia="Calibri" w:cs="Times New Roman"/>
          <w:color w:val="auto"/>
          <w:szCs w:val="24"/>
        </w:rPr>
        <w:t xml:space="preserve">dotyczącego lotnisk posiadających odstępstwo od stosowania przepisów UE oraz nowelizacją rozporządzenia wydanego na podstawie art. 59a ust. 6 </w:t>
      </w:r>
      <w:r w:rsidRPr="004802A7">
        <w:rPr>
          <w:rFonts w:cs="Times New Roman"/>
          <w:szCs w:val="24"/>
        </w:rPr>
        <w:t>ustawy – Prawo lotnicze,</w:t>
      </w:r>
      <w:r w:rsidRPr="004802A7">
        <w:rPr>
          <w:rFonts w:eastAsia="Calibri" w:cs="Times New Roman"/>
          <w:color w:val="auto"/>
          <w:szCs w:val="24"/>
        </w:rPr>
        <w:t xml:space="preserve"> dotyczącego lotnisk o ograniczonej certyfikacji. Projekty zmian tych rozporządzeń odnoszą się do tej samej – aktualnej wersji Załącznika 14 Tom I i Tom II, która została ogłoszona w Dzienniku Urzędowym Urzędu Lotnictwa Cywilnego. Ponadto wdrażają one ten sam zakres wymagań dla lotnisk, w tym GRF, dlatego zmienione przepisy powinny zostać opublikowane w tym samym terminie i w zakresie GRF wejść w życie </w:t>
      </w:r>
      <w:r w:rsidR="00231BC1">
        <w:rPr>
          <w:rFonts w:eastAsia="Calibri" w:cs="Times New Roman"/>
          <w:color w:val="auto"/>
          <w:szCs w:val="24"/>
        </w:rPr>
        <w:t>w tym samym czasie.</w:t>
      </w:r>
    </w:p>
    <w:p w14:paraId="4F768154" w14:textId="77777777" w:rsidR="0009689F" w:rsidRPr="004802A7" w:rsidRDefault="0009689F" w:rsidP="00FB18D8">
      <w:pPr>
        <w:pStyle w:val="Nagwek2"/>
        <w:spacing w:before="360"/>
        <w:rPr>
          <w:rStyle w:val="Ppogrubienie"/>
          <w:szCs w:val="24"/>
        </w:rPr>
      </w:pPr>
      <w:r w:rsidRPr="004802A7">
        <w:rPr>
          <w:rStyle w:val="Ppogrubienie"/>
          <w:szCs w:val="24"/>
        </w:rPr>
        <w:t>II.</w:t>
      </w:r>
      <w:r w:rsidRPr="004802A7">
        <w:rPr>
          <w:rStyle w:val="Ppogrubienie"/>
          <w:szCs w:val="24"/>
        </w:rPr>
        <w:tab/>
        <w:t>Przedstawienie rzeczywistego (faktycznego) stanu w dziedzinie, która ma zostać uregulowana</w:t>
      </w:r>
    </w:p>
    <w:p w14:paraId="104C44BE" w14:textId="4EFDBF6B" w:rsidR="007448C5" w:rsidRPr="004802A7" w:rsidRDefault="00FD4157" w:rsidP="00FB18D8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 xml:space="preserve">Zgodnie z upoważnieniem ustawowym z art. 59a ust. 7 ustawy – Prawo lotnicze rozporządzenie Ministra Infrastruktury </w:t>
      </w:r>
      <w:r w:rsidR="007448C5" w:rsidRPr="004802A7">
        <w:rPr>
          <w:rFonts w:ascii="Times New Roman" w:hAnsi="Times New Roman" w:cs="Times New Roman"/>
          <w:szCs w:val="24"/>
        </w:rPr>
        <w:t xml:space="preserve">określa wymagania </w:t>
      </w:r>
      <w:bookmarkStart w:id="12" w:name="highlightHit_15"/>
      <w:bookmarkStart w:id="13" w:name="highlightHit_16"/>
      <w:bookmarkStart w:id="14" w:name="highlightHit_17"/>
      <w:bookmarkEnd w:id="12"/>
      <w:bookmarkEnd w:id="13"/>
      <w:bookmarkEnd w:id="14"/>
      <w:r w:rsidR="007448C5" w:rsidRPr="004802A7">
        <w:rPr>
          <w:rFonts w:ascii="Times New Roman" w:hAnsi="Times New Roman" w:cs="Times New Roman"/>
          <w:szCs w:val="24"/>
        </w:rPr>
        <w:t xml:space="preserve">eksploatacyjne </w:t>
      </w:r>
      <w:bookmarkStart w:id="15" w:name="highlightHit_18"/>
      <w:bookmarkEnd w:id="15"/>
      <w:r w:rsidR="007448C5" w:rsidRPr="004802A7">
        <w:rPr>
          <w:rFonts w:ascii="Times New Roman" w:hAnsi="Times New Roman" w:cs="Times New Roman"/>
          <w:szCs w:val="24"/>
        </w:rPr>
        <w:t xml:space="preserve">w stosunku do lotnisk użytku wyłącznego. </w:t>
      </w:r>
      <w:r w:rsidRPr="004802A7">
        <w:rPr>
          <w:rFonts w:ascii="Times New Roman" w:hAnsi="Times New Roman" w:cs="Times New Roman"/>
          <w:szCs w:val="24"/>
        </w:rPr>
        <w:t>Z</w:t>
      </w:r>
      <w:r w:rsidR="007448C5" w:rsidRPr="004802A7">
        <w:rPr>
          <w:rFonts w:ascii="Times New Roman" w:hAnsi="Times New Roman" w:cs="Times New Roman"/>
          <w:szCs w:val="24"/>
        </w:rPr>
        <w:t xml:space="preserve">ostały </w:t>
      </w:r>
      <w:r w:rsidRPr="004802A7">
        <w:rPr>
          <w:rFonts w:ascii="Times New Roman" w:hAnsi="Times New Roman" w:cs="Times New Roman"/>
          <w:szCs w:val="24"/>
        </w:rPr>
        <w:t xml:space="preserve">one </w:t>
      </w:r>
      <w:r w:rsidR="007448C5" w:rsidRPr="004802A7">
        <w:rPr>
          <w:rFonts w:ascii="Times New Roman" w:hAnsi="Times New Roman" w:cs="Times New Roman"/>
          <w:szCs w:val="24"/>
        </w:rPr>
        <w:t>opracowane na podstawie norm i zalecanych metod postępowania Załącznika 14 ICAO Tom I i II</w:t>
      </w:r>
      <w:r w:rsidRPr="004802A7">
        <w:rPr>
          <w:rFonts w:ascii="Times New Roman" w:hAnsi="Times New Roman" w:cs="Times New Roman"/>
          <w:szCs w:val="24"/>
        </w:rPr>
        <w:t xml:space="preserve"> przy uwzględnieniu</w:t>
      </w:r>
      <w:r w:rsidR="007448C5" w:rsidRPr="004802A7">
        <w:rPr>
          <w:rFonts w:ascii="Times New Roman" w:hAnsi="Times New Roman" w:cs="Times New Roman"/>
          <w:szCs w:val="24"/>
        </w:rPr>
        <w:t xml:space="preserve"> koniecznoś</w:t>
      </w:r>
      <w:r w:rsidRPr="004802A7">
        <w:rPr>
          <w:rFonts w:ascii="Times New Roman" w:hAnsi="Times New Roman" w:cs="Times New Roman"/>
          <w:szCs w:val="24"/>
        </w:rPr>
        <w:t>ci</w:t>
      </w:r>
      <w:r w:rsidR="007448C5" w:rsidRPr="004802A7">
        <w:rPr>
          <w:rFonts w:ascii="Times New Roman" w:hAnsi="Times New Roman" w:cs="Times New Roman"/>
          <w:szCs w:val="24"/>
        </w:rPr>
        <w:t xml:space="preserve"> zapewnienia bezpiecznej eksploatacji lotnisk oraz potrzeb</w:t>
      </w:r>
      <w:r w:rsidRPr="004802A7">
        <w:rPr>
          <w:rFonts w:ascii="Times New Roman" w:hAnsi="Times New Roman" w:cs="Times New Roman"/>
          <w:szCs w:val="24"/>
        </w:rPr>
        <w:t>y</w:t>
      </w:r>
      <w:r w:rsidR="007448C5" w:rsidRPr="004802A7">
        <w:rPr>
          <w:rFonts w:ascii="Times New Roman" w:hAnsi="Times New Roman" w:cs="Times New Roman"/>
          <w:szCs w:val="24"/>
        </w:rPr>
        <w:t xml:space="preserve"> zróżnicowania tych wymagań w zależnoś</w:t>
      </w:r>
      <w:r w:rsidR="004802A7" w:rsidRPr="004802A7">
        <w:rPr>
          <w:rFonts w:ascii="Times New Roman" w:hAnsi="Times New Roman" w:cs="Times New Roman"/>
          <w:szCs w:val="24"/>
        </w:rPr>
        <w:t>ci od typu i </w:t>
      </w:r>
      <w:r w:rsidR="007448C5" w:rsidRPr="004802A7">
        <w:rPr>
          <w:rFonts w:ascii="Times New Roman" w:hAnsi="Times New Roman" w:cs="Times New Roman"/>
          <w:szCs w:val="24"/>
        </w:rPr>
        <w:t>charakt</w:t>
      </w:r>
      <w:r w:rsidR="00082D5D" w:rsidRPr="004802A7">
        <w:rPr>
          <w:rFonts w:ascii="Times New Roman" w:hAnsi="Times New Roman" w:cs="Times New Roman"/>
          <w:szCs w:val="24"/>
        </w:rPr>
        <w:t>erystyk technicznych lotniska, w</w:t>
      </w:r>
      <w:r w:rsidR="00992301" w:rsidRPr="004802A7">
        <w:rPr>
          <w:rFonts w:ascii="Times New Roman" w:hAnsi="Times New Roman" w:cs="Times New Roman"/>
          <w:szCs w:val="24"/>
        </w:rPr>
        <w:t xml:space="preserve"> </w:t>
      </w:r>
      <w:r w:rsidR="00082D5D" w:rsidRPr="004802A7">
        <w:rPr>
          <w:rFonts w:ascii="Times New Roman" w:hAnsi="Times New Roman" w:cs="Times New Roman"/>
          <w:szCs w:val="24"/>
        </w:rPr>
        <w:t xml:space="preserve">tym rodzaju nawierzchni pola ruchu naziemnego, </w:t>
      </w:r>
      <w:r w:rsidR="007448C5" w:rsidRPr="004802A7">
        <w:rPr>
          <w:rFonts w:ascii="Times New Roman" w:hAnsi="Times New Roman" w:cs="Times New Roman"/>
          <w:szCs w:val="24"/>
        </w:rPr>
        <w:t>rodzaju ruchu lotniczego</w:t>
      </w:r>
      <w:r w:rsidR="00082D5D" w:rsidRPr="004802A7">
        <w:rPr>
          <w:rFonts w:ascii="Times New Roman" w:hAnsi="Times New Roman" w:cs="Times New Roman"/>
          <w:szCs w:val="24"/>
        </w:rPr>
        <w:t xml:space="preserve"> oraz</w:t>
      </w:r>
      <w:r w:rsidR="007448C5" w:rsidRPr="004802A7">
        <w:rPr>
          <w:rFonts w:ascii="Times New Roman" w:hAnsi="Times New Roman" w:cs="Times New Roman"/>
          <w:szCs w:val="24"/>
        </w:rPr>
        <w:t xml:space="preserve"> </w:t>
      </w:r>
      <w:r w:rsidR="00082D5D" w:rsidRPr="004802A7">
        <w:rPr>
          <w:rFonts w:ascii="Times New Roman" w:hAnsi="Times New Roman" w:cs="Times New Roman"/>
          <w:szCs w:val="24"/>
        </w:rPr>
        <w:t>specyfiki wykonywanych operacji lotniczych (lotnictwo ogólne).</w:t>
      </w:r>
    </w:p>
    <w:p w14:paraId="58F5DC9A" w14:textId="755BB019" w:rsidR="0009689F" w:rsidRPr="004802A7" w:rsidRDefault="0009689F" w:rsidP="00FB18D8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 xml:space="preserve">Wymagania </w:t>
      </w:r>
      <w:r w:rsidR="00F12507" w:rsidRPr="004802A7">
        <w:rPr>
          <w:rFonts w:ascii="Times New Roman" w:hAnsi="Times New Roman" w:cs="Times New Roman"/>
          <w:szCs w:val="24"/>
        </w:rPr>
        <w:t>Załącznika 14 ICAO</w:t>
      </w:r>
      <w:r w:rsidRPr="004802A7">
        <w:rPr>
          <w:rFonts w:ascii="Times New Roman" w:hAnsi="Times New Roman" w:cs="Times New Roman"/>
          <w:szCs w:val="24"/>
        </w:rPr>
        <w:t xml:space="preserve"> podlegają okresowym zmianom, ze względu na zmiany wprowadzane przez </w:t>
      </w:r>
      <w:r w:rsidR="00F12507" w:rsidRPr="004802A7">
        <w:rPr>
          <w:rFonts w:ascii="Times New Roman" w:hAnsi="Times New Roman" w:cs="Times New Roman"/>
          <w:szCs w:val="24"/>
        </w:rPr>
        <w:t xml:space="preserve">Radę </w:t>
      </w:r>
      <w:r w:rsidRPr="004802A7">
        <w:rPr>
          <w:rFonts w:ascii="Times New Roman" w:hAnsi="Times New Roman" w:cs="Times New Roman"/>
          <w:szCs w:val="24"/>
        </w:rPr>
        <w:t>ICAO</w:t>
      </w:r>
      <w:r w:rsidR="00A56C29" w:rsidRPr="004802A7">
        <w:rPr>
          <w:rFonts w:ascii="Times New Roman" w:hAnsi="Times New Roman" w:cs="Times New Roman"/>
          <w:szCs w:val="24"/>
        </w:rPr>
        <w:t>,</w:t>
      </w:r>
      <w:r w:rsidRPr="004802A7">
        <w:rPr>
          <w:rFonts w:ascii="Times New Roman" w:hAnsi="Times New Roman" w:cs="Times New Roman"/>
          <w:szCs w:val="24"/>
        </w:rPr>
        <w:t xml:space="preserve"> mające na celu poprawę bezpieczeństwa i skuteczności operacji lotniczych przez stosowanie najnowszy</w:t>
      </w:r>
      <w:r w:rsidR="00FD4157" w:rsidRPr="004802A7">
        <w:rPr>
          <w:rFonts w:ascii="Times New Roman" w:hAnsi="Times New Roman" w:cs="Times New Roman"/>
          <w:szCs w:val="24"/>
        </w:rPr>
        <w:t>ch</w:t>
      </w:r>
      <w:r w:rsidRPr="004802A7">
        <w:rPr>
          <w:rFonts w:ascii="Times New Roman" w:hAnsi="Times New Roman" w:cs="Times New Roman"/>
          <w:szCs w:val="24"/>
        </w:rPr>
        <w:t xml:space="preserve"> osiągnięć technicznych</w:t>
      </w:r>
      <w:r w:rsidR="00FD4157" w:rsidRPr="004802A7">
        <w:rPr>
          <w:rFonts w:ascii="Times New Roman" w:hAnsi="Times New Roman" w:cs="Times New Roman"/>
          <w:szCs w:val="24"/>
        </w:rPr>
        <w:t>,</w:t>
      </w:r>
      <w:r w:rsidRPr="004802A7">
        <w:rPr>
          <w:rFonts w:ascii="Times New Roman" w:hAnsi="Times New Roman" w:cs="Times New Roman"/>
          <w:szCs w:val="24"/>
        </w:rPr>
        <w:t xml:space="preserve"> dotyczących urządzeń, systemów i wyposażenia lotniska oraz doświadczeń w zakresie utrzym</w:t>
      </w:r>
      <w:r w:rsidR="00F3046B" w:rsidRPr="004802A7">
        <w:rPr>
          <w:rFonts w:ascii="Times New Roman" w:hAnsi="Times New Roman" w:cs="Times New Roman"/>
          <w:szCs w:val="24"/>
        </w:rPr>
        <w:t>ania i</w:t>
      </w:r>
      <w:r w:rsidR="004802A7" w:rsidRPr="004802A7">
        <w:rPr>
          <w:rFonts w:ascii="Times New Roman" w:hAnsi="Times New Roman" w:cs="Times New Roman"/>
          <w:szCs w:val="24"/>
        </w:rPr>
        <w:t> </w:t>
      </w:r>
      <w:r w:rsidR="00F12507" w:rsidRPr="004802A7">
        <w:rPr>
          <w:rFonts w:ascii="Times New Roman" w:hAnsi="Times New Roman" w:cs="Times New Roman"/>
          <w:szCs w:val="24"/>
        </w:rPr>
        <w:t>zarz</w:t>
      </w:r>
      <w:r w:rsidR="00FD4157" w:rsidRPr="004802A7">
        <w:rPr>
          <w:rFonts w:ascii="Times New Roman" w:hAnsi="Times New Roman" w:cs="Times New Roman"/>
          <w:szCs w:val="24"/>
        </w:rPr>
        <w:t>ą</w:t>
      </w:r>
      <w:r w:rsidR="00F12507" w:rsidRPr="004802A7">
        <w:rPr>
          <w:rFonts w:ascii="Times New Roman" w:hAnsi="Times New Roman" w:cs="Times New Roman"/>
          <w:szCs w:val="24"/>
        </w:rPr>
        <w:t>dzania lotniskiem</w:t>
      </w:r>
      <w:r w:rsidRPr="004802A7">
        <w:rPr>
          <w:rFonts w:ascii="Times New Roman" w:hAnsi="Times New Roman" w:cs="Times New Roman"/>
          <w:szCs w:val="24"/>
        </w:rPr>
        <w:t>.</w:t>
      </w:r>
    </w:p>
    <w:p w14:paraId="6B1CE6E5" w14:textId="2B76BBE3" w:rsidR="00A56C29" w:rsidRPr="004802A7" w:rsidRDefault="00EE2102" w:rsidP="00FB18D8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bCs/>
          <w:szCs w:val="24"/>
        </w:rPr>
      </w:pPr>
      <w:r w:rsidRPr="004802A7">
        <w:rPr>
          <w:rFonts w:ascii="Times New Roman" w:hAnsi="Times New Roman" w:cs="Times New Roman"/>
          <w:szCs w:val="24"/>
        </w:rPr>
        <w:t>R</w:t>
      </w:r>
      <w:r w:rsidR="00A56C29" w:rsidRPr="004802A7">
        <w:rPr>
          <w:rFonts w:ascii="Times New Roman" w:hAnsi="Times New Roman" w:cs="Times New Roman"/>
          <w:szCs w:val="24"/>
        </w:rPr>
        <w:t xml:space="preserve">ozporządzenie </w:t>
      </w:r>
      <w:r w:rsidR="002F19D3" w:rsidRPr="004802A7">
        <w:rPr>
          <w:rFonts w:ascii="Times New Roman" w:hAnsi="Times New Roman" w:cs="Times New Roman"/>
          <w:szCs w:val="24"/>
        </w:rPr>
        <w:t xml:space="preserve">wydane na podstawie </w:t>
      </w:r>
      <w:r w:rsidR="00A56C29" w:rsidRPr="004802A7">
        <w:rPr>
          <w:rFonts w:ascii="Times New Roman" w:hAnsi="Times New Roman" w:cs="Times New Roman"/>
          <w:szCs w:val="24"/>
        </w:rPr>
        <w:t xml:space="preserve">art. 59a ust. </w:t>
      </w:r>
      <w:r w:rsidR="008F25F5" w:rsidRPr="004802A7">
        <w:rPr>
          <w:rFonts w:ascii="Times New Roman" w:hAnsi="Times New Roman" w:cs="Times New Roman"/>
          <w:szCs w:val="24"/>
        </w:rPr>
        <w:t>7</w:t>
      </w:r>
      <w:r w:rsidR="00A56C29" w:rsidRPr="004802A7">
        <w:rPr>
          <w:rFonts w:ascii="Times New Roman" w:hAnsi="Times New Roman" w:cs="Times New Roman"/>
          <w:szCs w:val="24"/>
        </w:rPr>
        <w:t xml:space="preserve"> </w:t>
      </w:r>
      <w:r w:rsidRPr="004802A7">
        <w:rPr>
          <w:rFonts w:ascii="Times New Roman" w:hAnsi="Times New Roman" w:cs="Times New Roman"/>
          <w:szCs w:val="24"/>
        </w:rPr>
        <w:t xml:space="preserve">ustawy – Prawo lotnicze </w:t>
      </w:r>
      <w:r w:rsidR="00A56C29" w:rsidRPr="004802A7">
        <w:rPr>
          <w:rFonts w:ascii="Times New Roman" w:hAnsi="Times New Roman" w:cs="Times New Roman"/>
          <w:szCs w:val="24"/>
        </w:rPr>
        <w:t xml:space="preserve">wdraża większość wymagań Załącznika 14 ICAO Tom I, w tym wymagania </w:t>
      </w:r>
      <w:r w:rsidR="004D62EE">
        <w:rPr>
          <w:rFonts w:ascii="Times New Roman" w:hAnsi="Times New Roman" w:cs="Times New Roman"/>
          <w:szCs w:val="24"/>
        </w:rPr>
        <w:t>r</w:t>
      </w:r>
      <w:r w:rsidR="00A56C29" w:rsidRPr="004802A7">
        <w:rPr>
          <w:rFonts w:ascii="Times New Roman" w:hAnsi="Times New Roman" w:cs="Times New Roman"/>
          <w:szCs w:val="24"/>
        </w:rPr>
        <w:t xml:space="preserve">ozdziału 2 „Dane dotyczące lotniska”. Nowe wymagania GRF wprowadzone zmianą 13B do Załącznika 14 </w:t>
      </w:r>
      <w:r w:rsidR="00661EA7" w:rsidRPr="004802A7">
        <w:rPr>
          <w:rFonts w:ascii="Times New Roman" w:hAnsi="Times New Roman" w:cs="Times New Roman"/>
          <w:szCs w:val="24"/>
        </w:rPr>
        <w:t>dotyczą</w:t>
      </w:r>
      <w:r w:rsidR="00A56C29" w:rsidRPr="004802A7">
        <w:rPr>
          <w:rFonts w:ascii="Times New Roman" w:hAnsi="Times New Roman" w:cs="Times New Roman"/>
          <w:szCs w:val="24"/>
        </w:rPr>
        <w:t xml:space="preserve"> głównie podrozdział</w:t>
      </w:r>
      <w:r w:rsidR="00661EA7" w:rsidRPr="004802A7">
        <w:rPr>
          <w:rFonts w:ascii="Times New Roman" w:hAnsi="Times New Roman" w:cs="Times New Roman"/>
          <w:szCs w:val="24"/>
        </w:rPr>
        <w:t>u</w:t>
      </w:r>
      <w:r w:rsidR="00A56C29" w:rsidRPr="004802A7">
        <w:rPr>
          <w:rFonts w:ascii="Times New Roman" w:hAnsi="Times New Roman" w:cs="Times New Roman"/>
          <w:szCs w:val="24"/>
        </w:rPr>
        <w:t xml:space="preserve"> 2.9 „</w:t>
      </w:r>
      <w:r w:rsidR="00A56C29" w:rsidRPr="004802A7">
        <w:rPr>
          <w:rFonts w:ascii="Times New Roman" w:hAnsi="Times New Roman" w:cs="Times New Roman"/>
          <w:i/>
          <w:szCs w:val="24"/>
        </w:rPr>
        <w:t>Warunki panujące w polu ruchu naziemnego oraz status operacyjny urządzeń z nim związanych”,</w:t>
      </w:r>
      <w:r w:rsidR="00A56C29" w:rsidRPr="004802A7">
        <w:rPr>
          <w:rFonts w:ascii="Times New Roman" w:hAnsi="Times New Roman" w:cs="Times New Roman"/>
          <w:szCs w:val="24"/>
        </w:rPr>
        <w:t xml:space="preserve"> dlatego </w:t>
      </w:r>
      <w:r w:rsidRPr="004802A7">
        <w:rPr>
          <w:rFonts w:ascii="Times New Roman" w:hAnsi="Times New Roman" w:cs="Times New Roman"/>
          <w:szCs w:val="24"/>
        </w:rPr>
        <w:t xml:space="preserve">w </w:t>
      </w:r>
      <w:r w:rsidR="0005638F">
        <w:rPr>
          <w:rFonts w:ascii="Times New Roman" w:hAnsi="Times New Roman" w:cs="Times New Roman"/>
        </w:rPr>
        <w:t xml:space="preserve">projektowanym </w:t>
      </w:r>
      <w:r w:rsidRPr="004802A7">
        <w:rPr>
          <w:rFonts w:ascii="Times New Roman" w:hAnsi="Times New Roman" w:cs="Times New Roman"/>
          <w:szCs w:val="24"/>
        </w:rPr>
        <w:t xml:space="preserve">rozporządzeniu uzasadnione </w:t>
      </w:r>
      <w:r w:rsidR="00A56C29" w:rsidRPr="004802A7">
        <w:rPr>
          <w:rFonts w:ascii="Times New Roman" w:hAnsi="Times New Roman" w:cs="Times New Roman"/>
          <w:szCs w:val="24"/>
        </w:rPr>
        <w:t>jest wdrożeni</w:t>
      </w:r>
      <w:r w:rsidRPr="004802A7">
        <w:rPr>
          <w:rFonts w:ascii="Times New Roman" w:hAnsi="Times New Roman" w:cs="Times New Roman"/>
          <w:szCs w:val="24"/>
        </w:rPr>
        <w:t>e</w:t>
      </w:r>
      <w:r w:rsidR="00A56C29" w:rsidRPr="004802A7">
        <w:rPr>
          <w:rFonts w:ascii="Times New Roman" w:hAnsi="Times New Roman" w:cs="Times New Roman"/>
          <w:szCs w:val="24"/>
        </w:rPr>
        <w:t xml:space="preserve"> GRF</w:t>
      </w:r>
      <w:r w:rsidR="00A56C29" w:rsidRPr="004802A7">
        <w:rPr>
          <w:rFonts w:ascii="Times New Roman" w:hAnsi="Times New Roman" w:cs="Times New Roman"/>
          <w:bCs/>
          <w:szCs w:val="24"/>
        </w:rPr>
        <w:t>.</w:t>
      </w:r>
    </w:p>
    <w:p w14:paraId="085E53A3" w14:textId="77777777" w:rsidR="0009689F" w:rsidRPr="004802A7" w:rsidRDefault="0009689F" w:rsidP="00FB18D8">
      <w:pPr>
        <w:pStyle w:val="Nagwek2"/>
        <w:tabs>
          <w:tab w:val="clear" w:pos="567"/>
          <w:tab w:val="left" w:pos="709"/>
        </w:tabs>
        <w:spacing w:before="360"/>
        <w:ind w:left="709" w:hanging="709"/>
        <w:jc w:val="both"/>
        <w:rPr>
          <w:rStyle w:val="Ppogrubienie"/>
          <w:szCs w:val="24"/>
        </w:rPr>
      </w:pPr>
      <w:r w:rsidRPr="004802A7">
        <w:rPr>
          <w:rStyle w:val="Ppogrubienie"/>
          <w:szCs w:val="24"/>
        </w:rPr>
        <w:t>III.</w:t>
      </w:r>
      <w:r w:rsidRPr="004802A7">
        <w:rPr>
          <w:rStyle w:val="Ppogrubienie"/>
          <w:szCs w:val="24"/>
        </w:rPr>
        <w:tab/>
        <w:t>Wskazani</w:t>
      </w:r>
      <w:r w:rsidR="009757B7" w:rsidRPr="004802A7">
        <w:rPr>
          <w:rStyle w:val="Ppogrubienie"/>
          <w:szCs w:val="24"/>
        </w:rPr>
        <w:t>e</w:t>
      </w:r>
      <w:r w:rsidRPr="004802A7">
        <w:rPr>
          <w:rStyle w:val="Ppogrubienie"/>
          <w:szCs w:val="24"/>
        </w:rPr>
        <w:t xml:space="preserve"> różnic między dotychczasowym a</w:t>
      </w:r>
      <w:r w:rsidR="00992301" w:rsidRPr="004802A7">
        <w:rPr>
          <w:rStyle w:val="Ppogrubienie"/>
          <w:szCs w:val="24"/>
        </w:rPr>
        <w:t xml:space="preserve"> </w:t>
      </w:r>
      <w:r w:rsidRPr="004802A7">
        <w:rPr>
          <w:rStyle w:val="Ppogrubienie"/>
          <w:szCs w:val="24"/>
        </w:rPr>
        <w:t>projektowanym stanem prawnym</w:t>
      </w:r>
    </w:p>
    <w:p w14:paraId="25BB37E2" w14:textId="77777777" w:rsidR="0009689F" w:rsidRPr="004802A7" w:rsidRDefault="0009689F" w:rsidP="00FB18D8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 xml:space="preserve">Aktualnie obowiązujące </w:t>
      </w:r>
      <w:r w:rsidR="00A56C29" w:rsidRPr="004802A7">
        <w:rPr>
          <w:rFonts w:ascii="Times New Roman" w:hAnsi="Times New Roman" w:cs="Times New Roman"/>
          <w:szCs w:val="24"/>
        </w:rPr>
        <w:t>r</w:t>
      </w:r>
      <w:r w:rsidR="00D92FD9" w:rsidRPr="004802A7">
        <w:rPr>
          <w:rFonts w:ascii="Times New Roman" w:hAnsi="Times New Roman" w:cs="Times New Roman"/>
          <w:szCs w:val="24"/>
        </w:rPr>
        <w:t xml:space="preserve">ozporządzenie </w:t>
      </w:r>
      <w:r w:rsidR="009757B7" w:rsidRPr="004802A7">
        <w:rPr>
          <w:rFonts w:ascii="Times New Roman" w:eastAsia="Calibri" w:hAnsi="Times New Roman" w:cs="Times New Roman"/>
          <w:szCs w:val="24"/>
        </w:rPr>
        <w:t xml:space="preserve">Ministra Infrastruktury </w:t>
      </w:r>
      <w:r w:rsidRPr="004802A7">
        <w:rPr>
          <w:rFonts w:ascii="Times New Roman" w:hAnsi="Times New Roman" w:cs="Times New Roman"/>
          <w:szCs w:val="24"/>
        </w:rPr>
        <w:t xml:space="preserve">w sprawie wymagań technicznych i eksploatacyjnych dla lotnisk użytku </w:t>
      </w:r>
      <w:r w:rsidR="00251B8A" w:rsidRPr="004802A7">
        <w:rPr>
          <w:rFonts w:ascii="Times New Roman" w:hAnsi="Times New Roman" w:cs="Times New Roman"/>
          <w:szCs w:val="24"/>
        </w:rPr>
        <w:t>wyłą</w:t>
      </w:r>
      <w:r w:rsidR="00F12507" w:rsidRPr="004802A7">
        <w:rPr>
          <w:rFonts w:ascii="Times New Roman" w:hAnsi="Times New Roman" w:cs="Times New Roman"/>
          <w:szCs w:val="24"/>
        </w:rPr>
        <w:t>cznego</w:t>
      </w:r>
      <w:r w:rsidRPr="004802A7">
        <w:rPr>
          <w:rFonts w:ascii="Times New Roman" w:hAnsi="Times New Roman" w:cs="Times New Roman"/>
          <w:szCs w:val="24"/>
        </w:rPr>
        <w:t xml:space="preserve"> </w:t>
      </w:r>
      <w:r w:rsidR="009757B7" w:rsidRPr="004802A7">
        <w:rPr>
          <w:rFonts w:ascii="Times New Roman" w:hAnsi="Times New Roman" w:cs="Times New Roman"/>
          <w:szCs w:val="24"/>
        </w:rPr>
        <w:t xml:space="preserve">oraz sposobu i trybu przeprowadzania kontroli sprawdzającej </w:t>
      </w:r>
      <w:r w:rsidRPr="004802A7">
        <w:rPr>
          <w:rFonts w:ascii="Times New Roman" w:hAnsi="Times New Roman" w:cs="Times New Roman"/>
          <w:szCs w:val="24"/>
        </w:rPr>
        <w:t>wdraża Załącznik 14 I</w:t>
      </w:r>
      <w:r w:rsidR="00F3046B" w:rsidRPr="004802A7">
        <w:rPr>
          <w:rFonts w:ascii="Times New Roman" w:hAnsi="Times New Roman" w:cs="Times New Roman"/>
          <w:szCs w:val="24"/>
        </w:rPr>
        <w:t>CAO Tom I w wersji ogłoszonej w</w:t>
      </w:r>
      <w:r w:rsidR="00992301" w:rsidRPr="004802A7">
        <w:rPr>
          <w:rFonts w:ascii="Times New Roman" w:hAnsi="Times New Roman" w:cs="Times New Roman"/>
          <w:szCs w:val="24"/>
        </w:rPr>
        <w:t xml:space="preserve"> </w:t>
      </w:r>
      <w:r w:rsidRPr="004802A7">
        <w:rPr>
          <w:rFonts w:ascii="Times New Roman" w:hAnsi="Times New Roman" w:cs="Times New Roman"/>
          <w:szCs w:val="24"/>
        </w:rPr>
        <w:t>załączniku do obwieszczenia nr 3 Prezesa Urzędu Lotnictwa Cywilnego z dnia 11 stycznia 2019 r. (Dz. Urz. ULC poz. 4) oraz Tom II w wersji ogłoszonej w</w:t>
      </w:r>
      <w:r w:rsidR="00783304" w:rsidRPr="004802A7">
        <w:rPr>
          <w:rFonts w:ascii="Times New Roman" w:hAnsi="Times New Roman" w:cs="Times New Roman"/>
          <w:szCs w:val="24"/>
        </w:rPr>
        <w:t xml:space="preserve"> załączniku do obwieszczenia nr</w:t>
      </w:r>
      <w:r w:rsidR="00992301" w:rsidRPr="004802A7">
        <w:rPr>
          <w:rFonts w:ascii="Times New Roman" w:hAnsi="Times New Roman" w:cs="Times New Roman"/>
          <w:szCs w:val="24"/>
        </w:rPr>
        <w:t xml:space="preserve"> </w:t>
      </w:r>
      <w:r w:rsidRPr="004802A7">
        <w:rPr>
          <w:rFonts w:ascii="Times New Roman" w:hAnsi="Times New Roman" w:cs="Times New Roman"/>
          <w:szCs w:val="24"/>
        </w:rPr>
        <w:t xml:space="preserve">4 Prezesa Urzędu Lotnictwa Cywilnego z dnia 11 stycznia 2019 r. (Dz. Urz. ULC poz. 5). </w:t>
      </w:r>
    </w:p>
    <w:p w14:paraId="3E3BB89B" w14:textId="6507ED71" w:rsidR="00C468B6" w:rsidRPr="004802A7" w:rsidRDefault="0005638F" w:rsidP="00FB18D8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EE2221" w:rsidRPr="004802A7">
        <w:rPr>
          <w:rFonts w:ascii="Times New Roman" w:hAnsi="Times New Roman" w:cs="Times New Roman"/>
          <w:szCs w:val="24"/>
        </w:rPr>
        <w:t>rojekt znowelizuje powyższe rozporządzenie w zakresie nowych wymagań ICAO wprowadzonych zmianą nr 13B i 15 do Tom I oraz zamianą nr 9 do Tomu II w aktualnej wersji Załącznika 14.</w:t>
      </w:r>
    </w:p>
    <w:p w14:paraId="0DD4CF47" w14:textId="77777777" w:rsidR="0009689F" w:rsidRPr="004802A7" w:rsidRDefault="0009689F" w:rsidP="00FB18D8">
      <w:pPr>
        <w:pStyle w:val="Nagwek2"/>
        <w:tabs>
          <w:tab w:val="clear" w:pos="567"/>
          <w:tab w:val="left" w:pos="709"/>
        </w:tabs>
        <w:spacing w:before="360"/>
        <w:ind w:left="709" w:hanging="709"/>
        <w:jc w:val="both"/>
        <w:rPr>
          <w:rStyle w:val="Ppogrubienie"/>
          <w:szCs w:val="24"/>
        </w:rPr>
      </w:pPr>
      <w:r w:rsidRPr="004802A7">
        <w:rPr>
          <w:rStyle w:val="Ppogrubienie"/>
          <w:szCs w:val="24"/>
        </w:rPr>
        <w:t xml:space="preserve">IV. </w:t>
      </w:r>
      <w:r w:rsidRPr="004802A7">
        <w:rPr>
          <w:rStyle w:val="Ppogrubienie"/>
          <w:szCs w:val="24"/>
        </w:rPr>
        <w:tab/>
        <w:t>Zakres regulacji</w:t>
      </w:r>
    </w:p>
    <w:p w14:paraId="38208A58" w14:textId="65C2415F" w:rsidR="001C1049" w:rsidRPr="004802A7" w:rsidRDefault="001077A8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1C1049" w:rsidRPr="004802A7">
        <w:rPr>
          <w:rFonts w:ascii="Times New Roman" w:hAnsi="Times New Roman" w:cs="Times New Roman"/>
          <w:szCs w:val="24"/>
        </w:rPr>
        <w:t xml:space="preserve">rojekt </w:t>
      </w:r>
      <w:r w:rsidR="00314687" w:rsidRPr="004802A7">
        <w:rPr>
          <w:rFonts w:ascii="Times New Roman" w:hAnsi="Times New Roman" w:cs="Times New Roman"/>
          <w:szCs w:val="24"/>
        </w:rPr>
        <w:t xml:space="preserve">przewiduje </w:t>
      </w:r>
      <w:r w:rsidR="001C1049" w:rsidRPr="004802A7">
        <w:rPr>
          <w:rFonts w:ascii="Times New Roman" w:hAnsi="Times New Roman" w:cs="Times New Roman"/>
          <w:szCs w:val="24"/>
        </w:rPr>
        <w:t xml:space="preserve">następujące zmiany w </w:t>
      </w:r>
      <w:r w:rsidR="002F19D3" w:rsidRPr="004802A7">
        <w:rPr>
          <w:rFonts w:ascii="Times New Roman" w:hAnsi="Times New Roman" w:cs="Times New Roman"/>
          <w:szCs w:val="24"/>
        </w:rPr>
        <w:t xml:space="preserve">obowiązującym </w:t>
      </w:r>
      <w:r w:rsidR="001C1049" w:rsidRPr="004802A7">
        <w:rPr>
          <w:rFonts w:ascii="Times New Roman" w:hAnsi="Times New Roman" w:cs="Times New Roman"/>
          <w:szCs w:val="24"/>
        </w:rPr>
        <w:t xml:space="preserve">rozporządzeniu </w:t>
      </w:r>
      <w:r w:rsidR="002F19D3" w:rsidRPr="004802A7">
        <w:rPr>
          <w:rFonts w:ascii="Times New Roman" w:hAnsi="Times New Roman" w:cs="Times New Roman"/>
          <w:szCs w:val="24"/>
        </w:rPr>
        <w:t xml:space="preserve">wydanym na podstawie </w:t>
      </w:r>
      <w:r w:rsidR="001C1049" w:rsidRPr="004802A7">
        <w:rPr>
          <w:rFonts w:ascii="Times New Roman" w:hAnsi="Times New Roman" w:cs="Times New Roman"/>
          <w:szCs w:val="24"/>
        </w:rPr>
        <w:t xml:space="preserve">art. 59a ust. </w:t>
      </w:r>
      <w:r w:rsidR="005E3AF2" w:rsidRPr="004802A7">
        <w:rPr>
          <w:rFonts w:ascii="Times New Roman" w:hAnsi="Times New Roman" w:cs="Times New Roman"/>
          <w:szCs w:val="24"/>
        </w:rPr>
        <w:t>7</w:t>
      </w:r>
      <w:r w:rsidR="001C1049" w:rsidRPr="004802A7">
        <w:rPr>
          <w:rFonts w:ascii="Times New Roman" w:hAnsi="Times New Roman" w:cs="Times New Roman"/>
          <w:szCs w:val="24"/>
        </w:rPr>
        <w:t xml:space="preserve"> ustawy </w:t>
      </w:r>
      <w:r w:rsidR="00E82967" w:rsidRPr="004802A7">
        <w:rPr>
          <w:rFonts w:ascii="Times New Roman" w:hAnsi="Times New Roman" w:cs="Times New Roman"/>
          <w:szCs w:val="24"/>
        </w:rPr>
        <w:t xml:space="preserve">– </w:t>
      </w:r>
      <w:r w:rsidR="001C1049" w:rsidRPr="004802A7">
        <w:rPr>
          <w:rFonts w:ascii="Times New Roman" w:hAnsi="Times New Roman" w:cs="Times New Roman"/>
          <w:szCs w:val="24"/>
        </w:rPr>
        <w:t>Prawo lotnicze:</w:t>
      </w:r>
    </w:p>
    <w:p w14:paraId="53682A9C" w14:textId="23AB8700" w:rsidR="001C1049" w:rsidRPr="008A0F17" w:rsidRDefault="001C1049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 xml:space="preserve">Zmiany w </w:t>
      </w:r>
      <w:r w:rsidRPr="008A0F17">
        <w:rPr>
          <w:rFonts w:ascii="Times New Roman" w:hAnsi="Times New Roman" w:cs="Times New Roman"/>
          <w:szCs w:val="24"/>
        </w:rPr>
        <w:t>§</w:t>
      </w:r>
      <w:r w:rsidR="00C468B6" w:rsidRPr="008A0F17">
        <w:rPr>
          <w:rFonts w:ascii="Times New Roman" w:hAnsi="Times New Roman" w:cs="Times New Roman"/>
          <w:szCs w:val="24"/>
        </w:rPr>
        <w:t> </w:t>
      </w:r>
      <w:r w:rsidRPr="008A0F17">
        <w:rPr>
          <w:rFonts w:ascii="Times New Roman" w:hAnsi="Times New Roman" w:cs="Times New Roman"/>
          <w:szCs w:val="24"/>
        </w:rPr>
        <w:t>2</w:t>
      </w:r>
      <w:r w:rsidR="003C07BB" w:rsidRPr="008A0F17">
        <w:rPr>
          <w:rFonts w:ascii="Times New Roman" w:hAnsi="Times New Roman" w:cs="Times New Roman"/>
          <w:szCs w:val="24"/>
        </w:rPr>
        <w:t xml:space="preserve"> (§ 1 pkt 1 rozporządzenia zmieniającego)</w:t>
      </w:r>
      <w:r w:rsidR="002902FA" w:rsidRPr="008A0F17">
        <w:rPr>
          <w:rFonts w:ascii="Times New Roman" w:hAnsi="Times New Roman" w:cs="Times New Roman"/>
          <w:szCs w:val="24"/>
        </w:rPr>
        <w:t xml:space="preserve"> </w:t>
      </w:r>
      <w:r w:rsidRPr="008A0F17">
        <w:rPr>
          <w:rFonts w:ascii="Times New Roman" w:hAnsi="Times New Roman" w:cs="Times New Roman"/>
          <w:szCs w:val="24"/>
        </w:rPr>
        <w:t xml:space="preserve">dotyczą </w:t>
      </w:r>
      <w:r w:rsidR="004D774F" w:rsidRPr="008A0F17">
        <w:rPr>
          <w:rFonts w:ascii="Times New Roman" w:hAnsi="Times New Roman" w:cs="Times New Roman"/>
          <w:szCs w:val="24"/>
        </w:rPr>
        <w:t>nowego</w:t>
      </w:r>
      <w:r w:rsidRPr="008A0F17">
        <w:rPr>
          <w:rFonts w:ascii="Times New Roman" w:hAnsi="Times New Roman" w:cs="Times New Roman"/>
          <w:szCs w:val="24"/>
        </w:rPr>
        <w:t xml:space="preserve"> publikatora Załącznika 14 Tom I i II w Dzienniku Urzędowym ULC oraz </w:t>
      </w:r>
      <w:r w:rsidR="009741EA" w:rsidRPr="008A0F17">
        <w:rPr>
          <w:rFonts w:ascii="Times New Roman" w:hAnsi="Times New Roman" w:cs="Times New Roman"/>
          <w:szCs w:val="24"/>
        </w:rPr>
        <w:t xml:space="preserve">usunięcia </w:t>
      </w:r>
      <w:r w:rsidR="003655A5" w:rsidRPr="008A0F17">
        <w:rPr>
          <w:rFonts w:ascii="Times New Roman" w:hAnsi="Times New Roman" w:cs="Times New Roman"/>
          <w:szCs w:val="24"/>
        </w:rPr>
        <w:t xml:space="preserve">definicji, które </w:t>
      </w:r>
      <w:r w:rsidR="008A0F17" w:rsidRPr="008A0F17">
        <w:rPr>
          <w:rFonts w:ascii="Times New Roman" w:hAnsi="Times New Roman" w:cs="Times New Roman"/>
          <w:szCs w:val="24"/>
        </w:rPr>
        <w:t xml:space="preserve">zgodnie z proponowanymi zmianami </w:t>
      </w:r>
      <w:r w:rsidR="003655A5" w:rsidRPr="008A0F17">
        <w:rPr>
          <w:rFonts w:ascii="Times New Roman" w:hAnsi="Times New Roman" w:cs="Times New Roman"/>
          <w:szCs w:val="24"/>
        </w:rPr>
        <w:t xml:space="preserve">nie </w:t>
      </w:r>
      <w:r w:rsidR="008A0F17" w:rsidRPr="008A0F17">
        <w:rPr>
          <w:rFonts w:ascii="Times New Roman" w:hAnsi="Times New Roman" w:cs="Times New Roman"/>
          <w:szCs w:val="24"/>
        </w:rPr>
        <w:t xml:space="preserve">będą </w:t>
      </w:r>
      <w:r w:rsidR="00A6182A" w:rsidRPr="008A0F17">
        <w:rPr>
          <w:rFonts w:ascii="Times New Roman" w:hAnsi="Times New Roman" w:cs="Times New Roman"/>
          <w:szCs w:val="24"/>
        </w:rPr>
        <w:t>występowa</w:t>
      </w:r>
      <w:r w:rsidR="00A6182A">
        <w:rPr>
          <w:rFonts w:ascii="Times New Roman" w:hAnsi="Times New Roman" w:cs="Times New Roman"/>
          <w:szCs w:val="24"/>
        </w:rPr>
        <w:t>ły</w:t>
      </w:r>
      <w:r w:rsidR="00A6182A" w:rsidRPr="008A0F17">
        <w:rPr>
          <w:rFonts w:ascii="Times New Roman" w:hAnsi="Times New Roman" w:cs="Times New Roman"/>
          <w:szCs w:val="24"/>
        </w:rPr>
        <w:t xml:space="preserve"> </w:t>
      </w:r>
      <w:r w:rsidR="003655A5" w:rsidRPr="008A0F17">
        <w:rPr>
          <w:rFonts w:ascii="Times New Roman" w:hAnsi="Times New Roman" w:cs="Times New Roman"/>
          <w:szCs w:val="24"/>
        </w:rPr>
        <w:t>już w przedmiotowym rozporządzeniu</w:t>
      </w:r>
      <w:r w:rsidRPr="008A0F17">
        <w:rPr>
          <w:rFonts w:ascii="Times New Roman" w:hAnsi="Times New Roman" w:cs="Times New Roman"/>
          <w:szCs w:val="24"/>
        </w:rPr>
        <w:t xml:space="preserve">. </w:t>
      </w:r>
    </w:p>
    <w:p w14:paraId="63938BB3" w14:textId="3D84CF39" w:rsidR="003655A5" w:rsidRPr="008A0F17" w:rsidRDefault="003655A5" w:rsidP="003655A5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 xml:space="preserve">Jednocześnie w § </w:t>
      </w:r>
      <w:r w:rsidR="008A0F17" w:rsidRPr="008A0F17">
        <w:rPr>
          <w:rFonts w:ascii="Times New Roman" w:hAnsi="Times New Roman" w:cs="Times New Roman"/>
          <w:szCs w:val="24"/>
        </w:rPr>
        <w:t>2</w:t>
      </w:r>
      <w:r w:rsidRPr="008A0F17">
        <w:rPr>
          <w:rFonts w:ascii="Times New Roman" w:hAnsi="Times New Roman" w:cs="Times New Roman"/>
          <w:szCs w:val="24"/>
        </w:rPr>
        <w:t xml:space="preserve"> ust. 2 (§ 1 pkt 1 rozporządzenia zmieniającego) dodano wyraz „Państwa” w celu doprecyzowania przepisów Załącznika 14, w których to określenie występuje i </w:t>
      </w:r>
      <w:r w:rsidR="008A0F17" w:rsidRPr="008A0F17">
        <w:rPr>
          <w:rFonts w:ascii="Times New Roman" w:hAnsi="Times New Roman" w:cs="Times New Roman"/>
          <w:szCs w:val="24"/>
        </w:rPr>
        <w:t>rozstrzygnięcia</w:t>
      </w:r>
      <w:r w:rsidRPr="008A0F17">
        <w:rPr>
          <w:rFonts w:ascii="Times New Roman" w:hAnsi="Times New Roman" w:cs="Times New Roman"/>
          <w:szCs w:val="24"/>
        </w:rPr>
        <w:t xml:space="preserve">, że zadania </w:t>
      </w:r>
      <w:r w:rsidR="008A0F17" w:rsidRPr="008A0F17">
        <w:rPr>
          <w:rFonts w:ascii="Times New Roman" w:hAnsi="Times New Roman" w:cs="Times New Roman"/>
          <w:szCs w:val="24"/>
        </w:rPr>
        <w:t xml:space="preserve">państwa </w:t>
      </w:r>
      <w:r w:rsidRPr="008A0F17">
        <w:rPr>
          <w:rFonts w:ascii="Times New Roman" w:hAnsi="Times New Roman" w:cs="Times New Roman"/>
          <w:szCs w:val="24"/>
        </w:rPr>
        <w:t>w nich wskazane realizuje Prezes Urzędu Lotnictwa Cywilnego.</w:t>
      </w:r>
    </w:p>
    <w:p w14:paraId="5E3777F0" w14:textId="2D14D74F" w:rsidR="001C1049" w:rsidRPr="008A0F17" w:rsidRDefault="001C1049" w:rsidP="00FB18D8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Zmiana w §</w:t>
      </w:r>
      <w:r w:rsidR="004D774F" w:rsidRPr="008A0F17">
        <w:rPr>
          <w:rFonts w:ascii="Times New Roman" w:hAnsi="Times New Roman" w:cs="Times New Roman"/>
          <w:szCs w:val="24"/>
        </w:rPr>
        <w:t> </w:t>
      </w:r>
      <w:r w:rsidR="00F23767" w:rsidRPr="008A0F17">
        <w:rPr>
          <w:rFonts w:ascii="Times New Roman" w:hAnsi="Times New Roman" w:cs="Times New Roman"/>
          <w:szCs w:val="24"/>
        </w:rPr>
        <w:t>3</w:t>
      </w:r>
      <w:r w:rsidR="004D774F" w:rsidRPr="008A0F17">
        <w:rPr>
          <w:rFonts w:ascii="Times New Roman" w:hAnsi="Times New Roman" w:cs="Times New Roman"/>
          <w:szCs w:val="24"/>
        </w:rPr>
        <w:t xml:space="preserve"> ust. </w:t>
      </w:r>
      <w:r w:rsidRPr="008A0F17">
        <w:rPr>
          <w:rFonts w:ascii="Times New Roman" w:hAnsi="Times New Roman" w:cs="Times New Roman"/>
          <w:szCs w:val="24"/>
        </w:rPr>
        <w:t>1 pkt 1</w:t>
      </w:r>
      <w:r w:rsidR="003C07BB" w:rsidRPr="008A0F17">
        <w:rPr>
          <w:rFonts w:ascii="Times New Roman" w:hAnsi="Times New Roman" w:cs="Times New Roman"/>
          <w:szCs w:val="24"/>
        </w:rPr>
        <w:t xml:space="preserve"> (§</w:t>
      </w:r>
      <w:r w:rsidR="00F1728E" w:rsidRPr="008A0F17">
        <w:rPr>
          <w:rFonts w:ascii="Times New Roman" w:hAnsi="Times New Roman" w:cs="Times New Roman"/>
          <w:szCs w:val="24"/>
        </w:rPr>
        <w:t xml:space="preserve"> </w:t>
      </w:r>
      <w:r w:rsidR="003C07BB" w:rsidRPr="008A0F17">
        <w:rPr>
          <w:rFonts w:ascii="Times New Roman" w:hAnsi="Times New Roman" w:cs="Times New Roman"/>
          <w:szCs w:val="24"/>
        </w:rPr>
        <w:t>1 pkt 2 lit. a rozporządzenia zmieniającego)</w:t>
      </w:r>
      <w:r w:rsidRPr="008A0F17">
        <w:rPr>
          <w:rFonts w:ascii="Times New Roman" w:hAnsi="Times New Roman" w:cs="Times New Roman"/>
          <w:szCs w:val="24"/>
        </w:rPr>
        <w:t xml:space="preserve"> dotyczy wyłączenia </w:t>
      </w:r>
      <w:r w:rsidR="003C07BB" w:rsidRPr="008A0F17">
        <w:rPr>
          <w:rFonts w:ascii="Times New Roman" w:hAnsi="Times New Roman" w:cs="Times New Roman"/>
          <w:szCs w:val="24"/>
        </w:rPr>
        <w:t xml:space="preserve">ze stosowania norm i zalecanych metod postępowania określonych w Załączniku 14 tom I w zakresie </w:t>
      </w:r>
      <w:r w:rsidRPr="008A0F17">
        <w:rPr>
          <w:rFonts w:ascii="Times New Roman" w:hAnsi="Times New Roman" w:cs="Times New Roman"/>
          <w:szCs w:val="24"/>
        </w:rPr>
        <w:t xml:space="preserve">wymagań dla planu generalnego lotniska, które są uregulowane w ustawie </w:t>
      </w:r>
      <w:r w:rsidR="00314687" w:rsidRPr="008A0F17">
        <w:rPr>
          <w:rFonts w:ascii="Times New Roman" w:hAnsi="Times New Roman" w:cs="Times New Roman"/>
          <w:szCs w:val="24"/>
        </w:rPr>
        <w:t xml:space="preserve">– </w:t>
      </w:r>
      <w:r w:rsidRPr="008A0F17">
        <w:rPr>
          <w:rFonts w:ascii="Times New Roman" w:hAnsi="Times New Roman" w:cs="Times New Roman"/>
          <w:szCs w:val="24"/>
        </w:rPr>
        <w:t xml:space="preserve">Prawo lotnicze i nie dotyczą lotnisk </w:t>
      </w:r>
      <w:r w:rsidR="00F12507" w:rsidRPr="008A0F17">
        <w:rPr>
          <w:rFonts w:ascii="Times New Roman" w:hAnsi="Times New Roman" w:cs="Times New Roman"/>
          <w:szCs w:val="24"/>
        </w:rPr>
        <w:t>użytku wyłącznego</w:t>
      </w:r>
      <w:r w:rsidRPr="008A0F17">
        <w:rPr>
          <w:rFonts w:ascii="Times New Roman" w:hAnsi="Times New Roman" w:cs="Times New Roman"/>
          <w:szCs w:val="24"/>
        </w:rPr>
        <w:t>.</w:t>
      </w:r>
    </w:p>
    <w:p w14:paraId="11012727" w14:textId="3E8D63FA" w:rsidR="00F23767" w:rsidRPr="008A0F17" w:rsidRDefault="001C1049" w:rsidP="00FB18D8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Zmiany w §</w:t>
      </w:r>
      <w:r w:rsidR="004D774F" w:rsidRPr="008A0F17">
        <w:rPr>
          <w:rFonts w:ascii="Times New Roman" w:hAnsi="Times New Roman" w:cs="Times New Roman"/>
          <w:szCs w:val="24"/>
        </w:rPr>
        <w:t> </w:t>
      </w:r>
      <w:r w:rsidR="00F23767" w:rsidRPr="008A0F17">
        <w:rPr>
          <w:rFonts w:ascii="Times New Roman" w:hAnsi="Times New Roman" w:cs="Times New Roman"/>
          <w:szCs w:val="24"/>
        </w:rPr>
        <w:t>3</w:t>
      </w:r>
      <w:r w:rsidR="004D774F" w:rsidRPr="008A0F17">
        <w:rPr>
          <w:rFonts w:ascii="Times New Roman" w:hAnsi="Times New Roman" w:cs="Times New Roman"/>
          <w:szCs w:val="24"/>
        </w:rPr>
        <w:t xml:space="preserve"> ust. </w:t>
      </w:r>
      <w:r w:rsidRPr="008A0F17">
        <w:rPr>
          <w:rFonts w:ascii="Times New Roman" w:hAnsi="Times New Roman" w:cs="Times New Roman"/>
          <w:szCs w:val="24"/>
        </w:rPr>
        <w:t>1 pkt 2 i 7</w:t>
      </w:r>
      <w:r w:rsidR="003C07BB" w:rsidRPr="008A0F17">
        <w:rPr>
          <w:rFonts w:ascii="Times New Roman" w:hAnsi="Times New Roman" w:cs="Times New Roman"/>
          <w:szCs w:val="24"/>
        </w:rPr>
        <w:t xml:space="preserve"> (§ 1 pkt 2 lit</w:t>
      </w:r>
      <w:r w:rsidR="004E7395" w:rsidRPr="008A0F17">
        <w:rPr>
          <w:rFonts w:ascii="Times New Roman" w:hAnsi="Times New Roman" w:cs="Times New Roman"/>
          <w:szCs w:val="24"/>
        </w:rPr>
        <w:t>.</w:t>
      </w:r>
      <w:r w:rsidR="003C07BB" w:rsidRPr="008A0F17">
        <w:rPr>
          <w:rFonts w:ascii="Times New Roman" w:hAnsi="Times New Roman" w:cs="Times New Roman"/>
          <w:szCs w:val="24"/>
        </w:rPr>
        <w:t xml:space="preserve"> a</w:t>
      </w:r>
      <w:r w:rsidR="003655A5" w:rsidRPr="008A0F17">
        <w:rPr>
          <w:rFonts w:ascii="Times New Roman" w:hAnsi="Times New Roman" w:cs="Times New Roman"/>
          <w:szCs w:val="24"/>
        </w:rPr>
        <w:t xml:space="preserve"> tiret pierwsze i drugie</w:t>
      </w:r>
      <w:r w:rsidR="003C07BB" w:rsidRPr="008A0F17">
        <w:rPr>
          <w:rFonts w:ascii="Times New Roman" w:hAnsi="Times New Roman" w:cs="Times New Roman"/>
          <w:szCs w:val="24"/>
        </w:rPr>
        <w:t xml:space="preserve"> rozporządzenia zmieniającego)</w:t>
      </w:r>
      <w:r w:rsidRPr="008A0F17">
        <w:rPr>
          <w:rFonts w:ascii="Times New Roman" w:hAnsi="Times New Roman" w:cs="Times New Roman"/>
          <w:szCs w:val="24"/>
        </w:rPr>
        <w:t xml:space="preserve"> mają na celu wdrożenie nowych wymagań dotyczących</w:t>
      </w:r>
      <w:r w:rsidR="00F23767" w:rsidRPr="008A0F17">
        <w:rPr>
          <w:rFonts w:ascii="Times New Roman" w:hAnsi="Times New Roman" w:cs="Times New Roman"/>
          <w:szCs w:val="24"/>
        </w:rPr>
        <w:t xml:space="preserve"> </w:t>
      </w:r>
      <w:r w:rsidRPr="008A0F17">
        <w:rPr>
          <w:rFonts w:ascii="Times New Roman" w:hAnsi="Times New Roman" w:cs="Times New Roman"/>
          <w:szCs w:val="24"/>
        </w:rPr>
        <w:t>GRF</w:t>
      </w:r>
      <w:r w:rsidR="00F23767" w:rsidRPr="008A0F17">
        <w:rPr>
          <w:rFonts w:ascii="Times New Roman" w:hAnsi="Times New Roman" w:cs="Times New Roman"/>
          <w:szCs w:val="24"/>
        </w:rPr>
        <w:t>.</w:t>
      </w:r>
    </w:p>
    <w:p w14:paraId="7447CB65" w14:textId="339CA6D5" w:rsidR="001C1049" w:rsidRPr="008A0F17" w:rsidRDefault="001C1049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W §</w:t>
      </w:r>
      <w:r w:rsidR="00C468B6" w:rsidRPr="008A0F17">
        <w:rPr>
          <w:rFonts w:ascii="Times New Roman" w:hAnsi="Times New Roman" w:cs="Times New Roman"/>
          <w:szCs w:val="24"/>
        </w:rPr>
        <w:t> </w:t>
      </w:r>
      <w:r w:rsidR="00A52DCC" w:rsidRPr="008A0F17">
        <w:rPr>
          <w:rFonts w:ascii="Times New Roman" w:hAnsi="Times New Roman" w:cs="Times New Roman"/>
          <w:szCs w:val="24"/>
        </w:rPr>
        <w:t>3</w:t>
      </w:r>
      <w:r w:rsidRPr="008A0F17">
        <w:rPr>
          <w:rFonts w:ascii="Times New Roman" w:hAnsi="Times New Roman" w:cs="Times New Roman"/>
          <w:szCs w:val="24"/>
        </w:rPr>
        <w:t xml:space="preserve"> ust. 1 </w:t>
      </w:r>
      <w:r w:rsidR="00E82967" w:rsidRPr="008A0F17">
        <w:rPr>
          <w:rFonts w:ascii="Times New Roman" w:hAnsi="Times New Roman" w:cs="Times New Roman"/>
          <w:szCs w:val="24"/>
        </w:rPr>
        <w:t xml:space="preserve">uchyla się </w:t>
      </w:r>
      <w:r w:rsidRPr="008A0F17">
        <w:rPr>
          <w:rFonts w:ascii="Times New Roman" w:hAnsi="Times New Roman" w:cs="Times New Roman"/>
          <w:szCs w:val="24"/>
        </w:rPr>
        <w:t>pkt 8</w:t>
      </w:r>
      <w:r w:rsidR="008A0F17">
        <w:rPr>
          <w:rFonts w:ascii="Times New Roman" w:hAnsi="Times New Roman" w:cs="Times New Roman"/>
          <w:szCs w:val="24"/>
        </w:rPr>
        <w:t>–</w:t>
      </w:r>
      <w:r w:rsidRPr="008A0F17">
        <w:rPr>
          <w:rFonts w:ascii="Times New Roman" w:hAnsi="Times New Roman" w:cs="Times New Roman"/>
          <w:szCs w:val="24"/>
        </w:rPr>
        <w:t>11</w:t>
      </w:r>
      <w:r w:rsidR="003C07BB" w:rsidRPr="008A0F17">
        <w:rPr>
          <w:rFonts w:ascii="Times New Roman" w:hAnsi="Times New Roman" w:cs="Times New Roman"/>
          <w:szCs w:val="24"/>
        </w:rPr>
        <w:t xml:space="preserve"> (§ 1 pkt 2 tiret trzecie rozporządzenia zmieniającego)</w:t>
      </w:r>
      <w:r w:rsidR="008B47B8" w:rsidRPr="008A0F17">
        <w:rPr>
          <w:rFonts w:ascii="Times New Roman" w:hAnsi="Times New Roman" w:cs="Times New Roman"/>
          <w:szCs w:val="24"/>
        </w:rPr>
        <w:t xml:space="preserve"> </w:t>
      </w:r>
      <w:r w:rsidR="00314687" w:rsidRPr="008A0F17">
        <w:rPr>
          <w:rFonts w:ascii="Times New Roman" w:hAnsi="Times New Roman" w:cs="Times New Roman"/>
          <w:szCs w:val="24"/>
        </w:rPr>
        <w:t xml:space="preserve">ze względu na brak </w:t>
      </w:r>
      <w:r w:rsidR="00F3046B" w:rsidRPr="008A0F17">
        <w:rPr>
          <w:rFonts w:ascii="Times New Roman" w:hAnsi="Times New Roman" w:cs="Times New Roman"/>
          <w:szCs w:val="24"/>
        </w:rPr>
        <w:t>potrzeby wskazywania w</w:t>
      </w:r>
      <w:r w:rsidR="00992301" w:rsidRPr="008A0F17">
        <w:rPr>
          <w:rFonts w:ascii="Times New Roman" w:hAnsi="Times New Roman" w:cs="Times New Roman"/>
          <w:szCs w:val="24"/>
        </w:rPr>
        <w:t xml:space="preserve"> </w:t>
      </w:r>
      <w:r w:rsidRPr="008A0F17">
        <w:rPr>
          <w:rFonts w:ascii="Times New Roman" w:hAnsi="Times New Roman" w:cs="Times New Roman"/>
          <w:szCs w:val="24"/>
        </w:rPr>
        <w:t>rozporządzeniu, które dodatki i sekcje w załącznikach A i B do Załącznika 14 obowiązują</w:t>
      </w:r>
      <w:r w:rsidR="00314687" w:rsidRPr="008A0F17">
        <w:rPr>
          <w:rFonts w:ascii="Times New Roman" w:hAnsi="Times New Roman" w:cs="Times New Roman"/>
          <w:szCs w:val="24"/>
        </w:rPr>
        <w:t>. W</w:t>
      </w:r>
      <w:r w:rsidRPr="008A0F17">
        <w:rPr>
          <w:rFonts w:ascii="Times New Roman" w:hAnsi="Times New Roman" w:cs="Times New Roman"/>
          <w:szCs w:val="24"/>
        </w:rPr>
        <w:t>ynika to z</w:t>
      </w:r>
      <w:r w:rsidR="004802A7" w:rsidRPr="008A0F17">
        <w:rPr>
          <w:rFonts w:ascii="Times New Roman" w:hAnsi="Times New Roman" w:cs="Times New Roman"/>
          <w:szCs w:val="24"/>
        </w:rPr>
        <w:t>  </w:t>
      </w:r>
      <w:r w:rsidRPr="008A0F17">
        <w:rPr>
          <w:rFonts w:ascii="Times New Roman" w:hAnsi="Times New Roman" w:cs="Times New Roman"/>
          <w:szCs w:val="24"/>
        </w:rPr>
        <w:t>treści punktów w rozdziałach 1</w:t>
      </w:r>
      <w:r w:rsidR="008A0F17">
        <w:rPr>
          <w:rFonts w:ascii="Times New Roman" w:hAnsi="Times New Roman" w:cs="Times New Roman"/>
          <w:szCs w:val="24"/>
        </w:rPr>
        <w:t>–</w:t>
      </w:r>
      <w:r w:rsidRPr="008A0F17">
        <w:rPr>
          <w:rFonts w:ascii="Times New Roman" w:hAnsi="Times New Roman" w:cs="Times New Roman"/>
          <w:szCs w:val="24"/>
        </w:rPr>
        <w:t xml:space="preserve">10 Załącznika 14, w których są one przywołane. Takie samo stanowisko prezentuje ICAO, </w:t>
      </w:r>
      <w:r w:rsidR="00A6182A" w:rsidRPr="008A0F17">
        <w:rPr>
          <w:rFonts w:ascii="Times New Roman" w:hAnsi="Times New Roman" w:cs="Times New Roman"/>
          <w:szCs w:val="24"/>
        </w:rPr>
        <w:t>któr</w:t>
      </w:r>
      <w:r w:rsidR="00A6182A">
        <w:rPr>
          <w:rFonts w:ascii="Times New Roman" w:hAnsi="Times New Roman" w:cs="Times New Roman"/>
          <w:szCs w:val="24"/>
        </w:rPr>
        <w:t>a</w:t>
      </w:r>
      <w:r w:rsidR="00A6182A" w:rsidRPr="004802A7">
        <w:rPr>
          <w:rFonts w:ascii="Times New Roman" w:hAnsi="Times New Roman" w:cs="Times New Roman"/>
          <w:szCs w:val="24"/>
        </w:rPr>
        <w:t xml:space="preserve"> </w:t>
      </w:r>
      <w:r w:rsidR="00F3046B" w:rsidRPr="004802A7">
        <w:rPr>
          <w:rFonts w:ascii="Times New Roman" w:hAnsi="Times New Roman" w:cs="Times New Roman"/>
          <w:szCs w:val="24"/>
        </w:rPr>
        <w:t>nie zamieszcza dodatków i</w:t>
      </w:r>
      <w:r w:rsidR="00992301" w:rsidRPr="004802A7">
        <w:rPr>
          <w:rFonts w:ascii="Times New Roman" w:hAnsi="Times New Roman" w:cs="Times New Roman"/>
          <w:szCs w:val="24"/>
        </w:rPr>
        <w:t xml:space="preserve"> </w:t>
      </w:r>
      <w:r w:rsidRPr="004802A7">
        <w:rPr>
          <w:rFonts w:ascii="Times New Roman" w:hAnsi="Times New Roman" w:cs="Times New Roman"/>
          <w:szCs w:val="24"/>
        </w:rPr>
        <w:t>załączników w listach kontrolnych (PQs) do audytu USOAP CMA</w:t>
      </w:r>
      <w:r w:rsidR="005C40DD" w:rsidRPr="004802A7">
        <w:rPr>
          <w:rStyle w:val="Odwoanieprzypisudolnego"/>
          <w:rFonts w:ascii="Times New Roman" w:hAnsi="Times New Roman"/>
          <w:szCs w:val="24"/>
        </w:rPr>
        <w:footnoteReference w:id="1"/>
      </w:r>
      <w:r w:rsidR="004E7395">
        <w:rPr>
          <w:rFonts w:ascii="Times New Roman" w:hAnsi="Times New Roman" w:cs="Times New Roman"/>
          <w:szCs w:val="24"/>
          <w:vertAlign w:val="superscript"/>
        </w:rPr>
        <w:t>)</w:t>
      </w:r>
      <w:r w:rsidR="00314687" w:rsidRPr="004802A7">
        <w:rPr>
          <w:rFonts w:ascii="Times New Roman" w:hAnsi="Times New Roman" w:cs="Times New Roman"/>
          <w:szCs w:val="24"/>
        </w:rPr>
        <w:t>,</w:t>
      </w:r>
      <w:r w:rsidRPr="004802A7">
        <w:rPr>
          <w:rFonts w:ascii="Times New Roman" w:hAnsi="Times New Roman" w:cs="Times New Roman"/>
          <w:szCs w:val="24"/>
        </w:rPr>
        <w:t xml:space="preserve"> a także nie wymaga zgłaszania różnic w tym zakresie w systemie zgłaszania on-line </w:t>
      </w:r>
      <w:r w:rsidRPr="008A0F17">
        <w:rPr>
          <w:rFonts w:ascii="Times New Roman" w:hAnsi="Times New Roman" w:cs="Times New Roman"/>
          <w:szCs w:val="24"/>
        </w:rPr>
        <w:t xml:space="preserve">EFOD </w:t>
      </w:r>
      <w:r w:rsidRPr="008A0F17">
        <w:rPr>
          <w:rFonts w:ascii="Times New Roman" w:hAnsi="Times New Roman" w:cs="Times New Roman"/>
          <w:i/>
          <w:szCs w:val="24"/>
        </w:rPr>
        <w:t>(Electronic Filling of Differences)</w:t>
      </w:r>
      <w:r w:rsidRPr="008A0F17">
        <w:rPr>
          <w:rFonts w:ascii="Times New Roman" w:hAnsi="Times New Roman" w:cs="Times New Roman"/>
          <w:szCs w:val="24"/>
        </w:rPr>
        <w:t>.</w:t>
      </w:r>
    </w:p>
    <w:p w14:paraId="0152E5CB" w14:textId="42CAB6D7" w:rsidR="001C1049" w:rsidRPr="008A0F17" w:rsidRDefault="001C1049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W §</w:t>
      </w:r>
      <w:r w:rsidR="004D774F" w:rsidRPr="008A0F17">
        <w:rPr>
          <w:rFonts w:ascii="Times New Roman" w:hAnsi="Times New Roman" w:cs="Times New Roman"/>
          <w:szCs w:val="24"/>
        </w:rPr>
        <w:t xml:space="preserve"> 3 </w:t>
      </w:r>
      <w:r w:rsidR="004F79C1" w:rsidRPr="008A0F17">
        <w:rPr>
          <w:rFonts w:ascii="Times New Roman" w:hAnsi="Times New Roman" w:cs="Times New Roman"/>
          <w:szCs w:val="24"/>
        </w:rPr>
        <w:t xml:space="preserve">zmieniono </w:t>
      </w:r>
      <w:r w:rsidR="004D774F" w:rsidRPr="008A0F17">
        <w:rPr>
          <w:rFonts w:ascii="Times New Roman" w:hAnsi="Times New Roman" w:cs="Times New Roman"/>
          <w:szCs w:val="24"/>
        </w:rPr>
        <w:t>ust. 2</w:t>
      </w:r>
      <w:r w:rsidR="000226AC" w:rsidRPr="008A0F17">
        <w:rPr>
          <w:rFonts w:ascii="Times New Roman" w:hAnsi="Times New Roman" w:cs="Times New Roman"/>
          <w:szCs w:val="24"/>
        </w:rPr>
        <w:t xml:space="preserve"> (</w:t>
      </w:r>
      <w:r w:rsidR="00AC3FBF" w:rsidRPr="008A0F17">
        <w:rPr>
          <w:rFonts w:ascii="Times New Roman" w:hAnsi="Times New Roman" w:cs="Times New Roman"/>
          <w:szCs w:val="24"/>
        </w:rPr>
        <w:t>§ 1 pkt 2 lit. b rozporządzenia zmieniającego)</w:t>
      </w:r>
      <w:r w:rsidR="004F79C1" w:rsidRPr="008A0F17">
        <w:rPr>
          <w:rFonts w:ascii="Times New Roman" w:hAnsi="Times New Roman" w:cs="Times New Roman"/>
          <w:szCs w:val="24"/>
        </w:rPr>
        <w:t>, w którym</w:t>
      </w:r>
      <w:r w:rsidR="004D774F" w:rsidRPr="008A0F17">
        <w:rPr>
          <w:rFonts w:ascii="Times New Roman" w:hAnsi="Times New Roman" w:cs="Times New Roman"/>
          <w:szCs w:val="24"/>
        </w:rPr>
        <w:t xml:space="preserve"> dodano pkt </w:t>
      </w:r>
      <w:r w:rsidR="00F23767" w:rsidRPr="008A0F17">
        <w:rPr>
          <w:rFonts w:ascii="Times New Roman" w:hAnsi="Times New Roman" w:cs="Times New Roman"/>
          <w:szCs w:val="24"/>
        </w:rPr>
        <w:t>2</w:t>
      </w:r>
      <w:r w:rsidR="004D774F" w:rsidRPr="008A0F17">
        <w:rPr>
          <w:rFonts w:ascii="Times New Roman" w:hAnsi="Times New Roman" w:cs="Times New Roman"/>
          <w:szCs w:val="24"/>
        </w:rPr>
        <w:t xml:space="preserve"> </w:t>
      </w:r>
      <w:r w:rsidR="004D62EE">
        <w:rPr>
          <w:rFonts w:ascii="Times New Roman" w:hAnsi="Times New Roman" w:cs="Times New Roman"/>
          <w:szCs w:val="24"/>
        </w:rPr>
        <w:t>w celu</w:t>
      </w:r>
      <w:r w:rsidRPr="008A0F17">
        <w:rPr>
          <w:rFonts w:ascii="Times New Roman" w:hAnsi="Times New Roman" w:cs="Times New Roman"/>
          <w:szCs w:val="24"/>
        </w:rPr>
        <w:t xml:space="preserve"> uszczegółowienia wymagań dla lotnisk dla śmigłowców znajdujących s</w:t>
      </w:r>
      <w:r w:rsidR="00C10DE2" w:rsidRPr="008A0F17">
        <w:rPr>
          <w:rFonts w:ascii="Times New Roman" w:hAnsi="Times New Roman" w:cs="Times New Roman"/>
          <w:szCs w:val="24"/>
        </w:rPr>
        <w:t>ię na lotniskach dla samolotów.</w:t>
      </w:r>
    </w:p>
    <w:p w14:paraId="22CC4CF9" w14:textId="21B24C76" w:rsidR="009916A4" w:rsidRPr="008A0F17" w:rsidRDefault="001B1758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 xml:space="preserve">W </w:t>
      </w:r>
      <w:r w:rsidR="00A52DCC" w:rsidRPr="008A0F17">
        <w:rPr>
          <w:rFonts w:ascii="Times New Roman" w:hAnsi="Times New Roman" w:cs="Times New Roman"/>
          <w:szCs w:val="24"/>
        </w:rPr>
        <w:t>§</w:t>
      </w:r>
      <w:r w:rsidR="00702F73" w:rsidRPr="008A0F17">
        <w:rPr>
          <w:rFonts w:ascii="Times New Roman" w:hAnsi="Times New Roman" w:cs="Times New Roman"/>
          <w:szCs w:val="24"/>
        </w:rPr>
        <w:t> </w:t>
      </w:r>
      <w:r w:rsidR="00A52DCC" w:rsidRPr="008A0F17">
        <w:rPr>
          <w:rFonts w:ascii="Times New Roman" w:hAnsi="Times New Roman" w:cs="Times New Roman"/>
          <w:szCs w:val="24"/>
        </w:rPr>
        <w:t xml:space="preserve">6 </w:t>
      </w:r>
      <w:r w:rsidR="00AC3FBF" w:rsidRPr="008A0F17">
        <w:rPr>
          <w:rFonts w:ascii="Times New Roman" w:hAnsi="Times New Roman" w:cs="Times New Roman"/>
          <w:szCs w:val="24"/>
        </w:rPr>
        <w:t>(§</w:t>
      </w:r>
      <w:r w:rsidR="004565D6" w:rsidRPr="008A0F17">
        <w:rPr>
          <w:rFonts w:ascii="Times New Roman" w:hAnsi="Times New Roman" w:cs="Times New Roman"/>
          <w:szCs w:val="24"/>
        </w:rPr>
        <w:t xml:space="preserve"> </w:t>
      </w:r>
      <w:r w:rsidR="00AC3FBF" w:rsidRPr="008A0F17">
        <w:rPr>
          <w:rFonts w:ascii="Times New Roman" w:hAnsi="Times New Roman" w:cs="Times New Roman"/>
          <w:szCs w:val="24"/>
        </w:rPr>
        <w:t xml:space="preserve">1 pkt </w:t>
      </w:r>
      <w:r w:rsidR="003655A5" w:rsidRPr="008A0F17">
        <w:rPr>
          <w:rFonts w:ascii="Times New Roman" w:hAnsi="Times New Roman" w:cs="Times New Roman"/>
          <w:szCs w:val="24"/>
        </w:rPr>
        <w:t xml:space="preserve">3 </w:t>
      </w:r>
      <w:r w:rsidR="00AC3FBF" w:rsidRPr="008A0F17">
        <w:rPr>
          <w:rFonts w:ascii="Times New Roman" w:hAnsi="Times New Roman" w:cs="Times New Roman"/>
          <w:szCs w:val="24"/>
        </w:rPr>
        <w:t>lit</w:t>
      </w:r>
      <w:r w:rsidR="0011194C" w:rsidRPr="008A0F17">
        <w:rPr>
          <w:rFonts w:ascii="Times New Roman" w:hAnsi="Times New Roman" w:cs="Times New Roman"/>
          <w:szCs w:val="24"/>
        </w:rPr>
        <w:t>.</w:t>
      </w:r>
      <w:r w:rsidR="00AC3FBF" w:rsidRPr="008A0F17">
        <w:rPr>
          <w:rFonts w:ascii="Times New Roman" w:hAnsi="Times New Roman" w:cs="Times New Roman"/>
          <w:szCs w:val="24"/>
        </w:rPr>
        <w:t xml:space="preserve"> a rozporządzenia zmieniającego) </w:t>
      </w:r>
      <w:r w:rsidR="00702F73" w:rsidRPr="008A0F17">
        <w:rPr>
          <w:rFonts w:ascii="Times New Roman" w:hAnsi="Times New Roman" w:cs="Times New Roman"/>
          <w:szCs w:val="24"/>
        </w:rPr>
        <w:t xml:space="preserve">przepis </w:t>
      </w:r>
      <w:r w:rsidRPr="008A0F17">
        <w:rPr>
          <w:rFonts w:ascii="Times New Roman" w:hAnsi="Times New Roman" w:cs="Times New Roman"/>
          <w:szCs w:val="24"/>
        </w:rPr>
        <w:t xml:space="preserve">w ust. 1 </w:t>
      </w:r>
      <w:r w:rsidR="00A52DCC" w:rsidRPr="008A0F17">
        <w:rPr>
          <w:rFonts w:ascii="Times New Roman" w:hAnsi="Times New Roman" w:cs="Times New Roman"/>
          <w:szCs w:val="24"/>
        </w:rPr>
        <w:t xml:space="preserve">został uszczegółowiony w zakresie </w:t>
      </w:r>
      <w:r w:rsidR="009916A4" w:rsidRPr="008A0F17">
        <w:rPr>
          <w:rFonts w:ascii="Times New Roman" w:hAnsi="Times New Roman" w:cs="Times New Roman"/>
          <w:szCs w:val="24"/>
        </w:rPr>
        <w:t>wymagań d</w:t>
      </w:r>
      <w:r w:rsidR="00702F73" w:rsidRPr="008A0F17">
        <w:rPr>
          <w:rFonts w:ascii="Times New Roman" w:hAnsi="Times New Roman" w:cs="Times New Roman"/>
          <w:szCs w:val="24"/>
        </w:rPr>
        <w:t>otyczących</w:t>
      </w:r>
      <w:r w:rsidR="009916A4" w:rsidRPr="008A0F17">
        <w:rPr>
          <w:rFonts w:ascii="Times New Roman" w:hAnsi="Times New Roman" w:cs="Times New Roman"/>
          <w:szCs w:val="24"/>
        </w:rPr>
        <w:t xml:space="preserve"> </w:t>
      </w:r>
      <w:r w:rsidR="00A52DCC" w:rsidRPr="008A0F17">
        <w:rPr>
          <w:rFonts w:ascii="Times New Roman" w:hAnsi="Times New Roman" w:cs="Times New Roman"/>
          <w:szCs w:val="24"/>
        </w:rPr>
        <w:t>podświetleni</w:t>
      </w:r>
      <w:r w:rsidR="009916A4" w:rsidRPr="008A0F17">
        <w:rPr>
          <w:rFonts w:ascii="Times New Roman" w:hAnsi="Times New Roman" w:cs="Times New Roman"/>
          <w:szCs w:val="24"/>
        </w:rPr>
        <w:t>a</w:t>
      </w:r>
      <w:r w:rsidR="00A52DCC" w:rsidRPr="008A0F17">
        <w:rPr>
          <w:rFonts w:ascii="Times New Roman" w:hAnsi="Times New Roman" w:cs="Times New Roman"/>
          <w:szCs w:val="24"/>
        </w:rPr>
        <w:t xml:space="preserve"> wskaźnika kierunku wiatru</w:t>
      </w:r>
      <w:r w:rsidR="009916A4" w:rsidRPr="008A0F17">
        <w:rPr>
          <w:rFonts w:ascii="Times New Roman" w:hAnsi="Times New Roman" w:cs="Times New Roman"/>
          <w:szCs w:val="24"/>
        </w:rPr>
        <w:t>. Jest to niezbędne dla bezpieczeństwa operacji lotniczych wykonywanych w nocy.</w:t>
      </w:r>
      <w:r w:rsidRPr="008A0F17">
        <w:rPr>
          <w:rFonts w:ascii="Times New Roman" w:hAnsi="Times New Roman" w:cs="Times New Roman"/>
          <w:szCs w:val="24"/>
        </w:rPr>
        <w:t xml:space="preserve"> W</w:t>
      </w:r>
      <w:r w:rsidR="009916A4" w:rsidRPr="008A0F17">
        <w:rPr>
          <w:rFonts w:ascii="Times New Roman" w:hAnsi="Times New Roman" w:cs="Times New Roman"/>
          <w:szCs w:val="24"/>
        </w:rPr>
        <w:t xml:space="preserve"> ust. 9</w:t>
      </w:r>
      <w:r w:rsidR="00AC3FBF" w:rsidRPr="008A0F17">
        <w:rPr>
          <w:rFonts w:ascii="Times New Roman" w:hAnsi="Times New Roman" w:cs="Times New Roman"/>
          <w:szCs w:val="24"/>
        </w:rPr>
        <w:t xml:space="preserve"> (§ 1 pkt </w:t>
      </w:r>
      <w:r w:rsidR="003655A5" w:rsidRPr="008A0F17">
        <w:rPr>
          <w:rFonts w:ascii="Times New Roman" w:hAnsi="Times New Roman" w:cs="Times New Roman"/>
          <w:szCs w:val="24"/>
        </w:rPr>
        <w:t xml:space="preserve">3 </w:t>
      </w:r>
      <w:r w:rsidR="00AC3FBF" w:rsidRPr="008A0F17">
        <w:rPr>
          <w:rFonts w:ascii="Times New Roman" w:hAnsi="Times New Roman" w:cs="Times New Roman"/>
          <w:szCs w:val="24"/>
        </w:rPr>
        <w:t>lit. b rozporządzenia zmieniającego)</w:t>
      </w:r>
      <w:r w:rsidR="009916A4" w:rsidRPr="008A0F17">
        <w:rPr>
          <w:rFonts w:ascii="Times New Roman" w:hAnsi="Times New Roman" w:cs="Times New Roman"/>
          <w:szCs w:val="24"/>
        </w:rPr>
        <w:t xml:space="preserve"> </w:t>
      </w:r>
      <w:r w:rsidRPr="008A0F17">
        <w:rPr>
          <w:rFonts w:ascii="Times New Roman" w:hAnsi="Times New Roman" w:cs="Times New Roman"/>
          <w:szCs w:val="24"/>
        </w:rPr>
        <w:t xml:space="preserve">poprawiono nazewnictwo </w:t>
      </w:r>
      <w:r w:rsidR="009916A4" w:rsidRPr="008A0F17">
        <w:rPr>
          <w:rFonts w:ascii="Times New Roman" w:hAnsi="Times New Roman" w:cs="Times New Roman"/>
          <w:szCs w:val="24"/>
        </w:rPr>
        <w:t xml:space="preserve">w związku ze zmianami w </w:t>
      </w:r>
      <w:r w:rsidR="00EE3F62" w:rsidRPr="008A0F17">
        <w:rPr>
          <w:rFonts w:ascii="Times New Roman" w:hAnsi="Times New Roman" w:cs="Times New Roman"/>
          <w:szCs w:val="24"/>
        </w:rPr>
        <w:t>§</w:t>
      </w:r>
      <w:r w:rsidR="00C468B6" w:rsidRPr="008A0F17">
        <w:rPr>
          <w:rFonts w:ascii="Times New Roman" w:hAnsi="Times New Roman" w:cs="Times New Roman"/>
          <w:szCs w:val="24"/>
        </w:rPr>
        <w:t> </w:t>
      </w:r>
      <w:r w:rsidR="00B6760E" w:rsidRPr="008A0F17">
        <w:rPr>
          <w:rFonts w:ascii="Times New Roman" w:hAnsi="Times New Roman" w:cs="Times New Roman"/>
          <w:szCs w:val="24"/>
        </w:rPr>
        <w:t>12 i</w:t>
      </w:r>
      <w:r w:rsidR="004802A7" w:rsidRPr="008A0F17">
        <w:rPr>
          <w:rFonts w:ascii="Times New Roman" w:hAnsi="Times New Roman" w:cs="Times New Roman"/>
          <w:szCs w:val="24"/>
        </w:rPr>
        <w:t> </w:t>
      </w:r>
      <w:r w:rsidR="00B6760E" w:rsidRPr="008A0F17">
        <w:rPr>
          <w:rFonts w:ascii="Times New Roman" w:hAnsi="Times New Roman" w:cs="Times New Roman"/>
          <w:szCs w:val="24"/>
        </w:rPr>
        <w:t xml:space="preserve"> </w:t>
      </w:r>
      <w:r w:rsidR="00C468B6" w:rsidRPr="008A0F17">
        <w:rPr>
          <w:rFonts w:ascii="Times New Roman" w:hAnsi="Times New Roman" w:cs="Times New Roman"/>
          <w:szCs w:val="24"/>
        </w:rPr>
        <w:t>§ </w:t>
      </w:r>
      <w:r w:rsidR="00EE3F62" w:rsidRPr="008A0F17">
        <w:rPr>
          <w:rFonts w:ascii="Times New Roman" w:hAnsi="Times New Roman" w:cs="Times New Roman"/>
          <w:szCs w:val="24"/>
        </w:rPr>
        <w:t>23</w:t>
      </w:r>
      <w:r w:rsidR="009916A4" w:rsidRPr="008A0F17">
        <w:rPr>
          <w:rFonts w:ascii="Times New Roman" w:hAnsi="Times New Roman" w:cs="Times New Roman"/>
          <w:szCs w:val="24"/>
        </w:rPr>
        <w:t>.</w:t>
      </w:r>
    </w:p>
    <w:p w14:paraId="655ABBD4" w14:textId="502C0C81" w:rsidR="00B6760E" w:rsidRPr="008A0F17" w:rsidRDefault="00B6760E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W § 7</w:t>
      </w:r>
      <w:r w:rsidR="00AC3FBF" w:rsidRPr="008A0F17">
        <w:rPr>
          <w:rFonts w:ascii="Times New Roman" w:hAnsi="Times New Roman" w:cs="Times New Roman"/>
          <w:szCs w:val="24"/>
        </w:rPr>
        <w:t xml:space="preserve"> (§ 1 pkt </w:t>
      </w:r>
      <w:r w:rsidR="003655A5" w:rsidRPr="008A0F17">
        <w:rPr>
          <w:rFonts w:ascii="Times New Roman" w:hAnsi="Times New Roman" w:cs="Times New Roman"/>
          <w:szCs w:val="24"/>
        </w:rPr>
        <w:t xml:space="preserve">4 </w:t>
      </w:r>
      <w:r w:rsidR="00AC3FBF" w:rsidRPr="008A0F17">
        <w:rPr>
          <w:rFonts w:ascii="Times New Roman" w:hAnsi="Times New Roman" w:cs="Times New Roman"/>
          <w:szCs w:val="24"/>
        </w:rPr>
        <w:t>rozporządzenia zmieniającego)</w:t>
      </w:r>
      <w:r w:rsidRPr="008A0F17">
        <w:rPr>
          <w:rFonts w:ascii="Times New Roman" w:hAnsi="Times New Roman" w:cs="Times New Roman"/>
          <w:szCs w:val="24"/>
        </w:rPr>
        <w:t xml:space="preserve"> dodaje się ust. 4, który określa warunki, kiedy rezerwowe źródło zasilania wzrokowych pomocy nawigacyjnych dla nieprzyrządowej drogi startowej nie musi być zapewnione</w:t>
      </w:r>
      <w:r w:rsidR="00C468B6" w:rsidRPr="008A0F17">
        <w:rPr>
          <w:rFonts w:ascii="Times New Roman" w:hAnsi="Times New Roman" w:cs="Times New Roman"/>
          <w:szCs w:val="24"/>
        </w:rPr>
        <w:t>.</w:t>
      </w:r>
    </w:p>
    <w:p w14:paraId="04616FE3" w14:textId="44E88F33" w:rsidR="00B6760E" w:rsidRPr="008A0F17" w:rsidRDefault="00B6760E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 xml:space="preserve">Przepisy </w:t>
      </w:r>
      <w:r w:rsidR="00C468B6" w:rsidRPr="008A0F17">
        <w:rPr>
          <w:rFonts w:ascii="Times New Roman" w:hAnsi="Times New Roman" w:cs="Times New Roman"/>
          <w:szCs w:val="24"/>
        </w:rPr>
        <w:t xml:space="preserve">w </w:t>
      </w:r>
      <w:r w:rsidRPr="008A0F17">
        <w:rPr>
          <w:rFonts w:ascii="Times New Roman" w:hAnsi="Times New Roman" w:cs="Times New Roman"/>
          <w:szCs w:val="24"/>
        </w:rPr>
        <w:t>§ </w:t>
      </w:r>
      <w:r w:rsidR="004F79C1" w:rsidRPr="008A0F17">
        <w:rPr>
          <w:rFonts w:ascii="Times New Roman" w:hAnsi="Times New Roman" w:cs="Times New Roman"/>
          <w:szCs w:val="24"/>
        </w:rPr>
        <w:t>12</w:t>
      </w:r>
      <w:r w:rsidR="004B5324" w:rsidRPr="008A0F17">
        <w:rPr>
          <w:rFonts w:ascii="Times New Roman" w:hAnsi="Times New Roman" w:cs="Times New Roman"/>
          <w:szCs w:val="24"/>
        </w:rPr>
        <w:t xml:space="preserve"> </w:t>
      </w:r>
      <w:r w:rsidR="00AC3FBF" w:rsidRPr="008A0F17">
        <w:rPr>
          <w:rFonts w:ascii="Times New Roman" w:hAnsi="Times New Roman" w:cs="Times New Roman"/>
          <w:szCs w:val="24"/>
        </w:rPr>
        <w:t xml:space="preserve">(§ 1 pkt </w:t>
      </w:r>
      <w:r w:rsidR="003655A5" w:rsidRPr="008A0F17">
        <w:rPr>
          <w:rFonts w:ascii="Times New Roman" w:hAnsi="Times New Roman" w:cs="Times New Roman"/>
          <w:szCs w:val="24"/>
        </w:rPr>
        <w:t xml:space="preserve">5 </w:t>
      </w:r>
      <w:r w:rsidR="00AC3FBF" w:rsidRPr="008A0F17">
        <w:rPr>
          <w:rFonts w:ascii="Times New Roman" w:hAnsi="Times New Roman" w:cs="Times New Roman"/>
          <w:szCs w:val="24"/>
        </w:rPr>
        <w:t xml:space="preserve">rozporządzenia zmieniającego) </w:t>
      </w:r>
      <w:r w:rsidR="009916A4" w:rsidRPr="008A0F17">
        <w:rPr>
          <w:rFonts w:ascii="Times New Roman" w:hAnsi="Times New Roman" w:cs="Times New Roman"/>
          <w:szCs w:val="24"/>
        </w:rPr>
        <w:t>poprawiono w związku ze zmianami w §</w:t>
      </w:r>
      <w:r w:rsidR="00C468B6" w:rsidRPr="008A0F17">
        <w:rPr>
          <w:rFonts w:ascii="Times New Roman" w:hAnsi="Times New Roman" w:cs="Times New Roman"/>
          <w:szCs w:val="24"/>
        </w:rPr>
        <w:t> </w:t>
      </w:r>
      <w:r w:rsidR="009916A4" w:rsidRPr="008A0F17">
        <w:rPr>
          <w:rFonts w:ascii="Times New Roman" w:hAnsi="Times New Roman" w:cs="Times New Roman"/>
          <w:szCs w:val="24"/>
        </w:rPr>
        <w:t>23.</w:t>
      </w:r>
      <w:r w:rsidRPr="008A0F17">
        <w:rPr>
          <w:rFonts w:ascii="Times New Roman" w:hAnsi="Times New Roman" w:cs="Times New Roman"/>
          <w:szCs w:val="24"/>
        </w:rPr>
        <w:t xml:space="preserve"> </w:t>
      </w:r>
      <w:r w:rsidR="00627800" w:rsidRPr="008A0F17">
        <w:rPr>
          <w:rFonts w:ascii="Times New Roman" w:hAnsi="Times New Roman" w:cs="Times New Roman"/>
          <w:bCs/>
          <w:szCs w:val="24"/>
        </w:rPr>
        <w:t>D</w:t>
      </w:r>
      <w:r w:rsidRPr="008A0F17">
        <w:rPr>
          <w:rFonts w:ascii="Times New Roman" w:hAnsi="Times New Roman" w:cs="Times New Roman"/>
          <w:bCs/>
          <w:szCs w:val="24"/>
        </w:rPr>
        <w:t>o tej pory określały</w:t>
      </w:r>
      <w:r w:rsidR="00627800" w:rsidRPr="008A0F17">
        <w:rPr>
          <w:rFonts w:ascii="Times New Roman" w:hAnsi="Times New Roman" w:cs="Times New Roman"/>
          <w:bCs/>
          <w:szCs w:val="24"/>
        </w:rPr>
        <w:t xml:space="preserve"> one</w:t>
      </w:r>
      <w:r w:rsidRPr="008A0F17">
        <w:rPr>
          <w:rFonts w:ascii="Times New Roman" w:hAnsi="Times New Roman" w:cs="Times New Roman"/>
          <w:bCs/>
          <w:szCs w:val="24"/>
        </w:rPr>
        <w:t xml:space="preserve"> wymagania dotyczące lokalizacji pola wzlotów</w:t>
      </w:r>
      <w:r w:rsidR="00627800" w:rsidRPr="008A0F17">
        <w:rPr>
          <w:rFonts w:ascii="Times New Roman" w:hAnsi="Times New Roman" w:cs="Times New Roman"/>
          <w:bCs/>
          <w:szCs w:val="24"/>
        </w:rPr>
        <w:t>,</w:t>
      </w:r>
      <w:r w:rsidRPr="008A0F17">
        <w:rPr>
          <w:rFonts w:ascii="Times New Roman" w:hAnsi="Times New Roman" w:cs="Times New Roman"/>
          <w:bCs/>
          <w:szCs w:val="24"/>
        </w:rPr>
        <w:t xml:space="preserve"> a obecnie określają wymagania dla drogi startowej. Zmiana ta jest konieczna</w:t>
      </w:r>
      <w:r w:rsidR="00627800" w:rsidRPr="008A0F17">
        <w:rPr>
          <w:rFonts w:ascii="Times New Roman" w:hAnsi="Times New Roman" w:cs="Times New Roman"/>
          <w:bCs/>
          <w:szCs w:val="24"/>
        </w:rPr>
        <w:t xml:space="preserve"> w celu</w:t>
      </w:r>
      <w:r w:rsidRPr="008A0F17">
        <w:rPr>
          <w:rFonts w:ascii="Times New Roman" w:hAnsi="Times New Roman" w:cs="Times New Roman"/>
          <w:bCs/>
          <w:szCs w:val="24"/>
        </w:rPr>
        <w:t xml:space="preserve"> unikn</w:t>
      </w:r>
      <w:r w:rsidR="00627800" w:rsidRPr="008A0F17">
        <w:rPr>
          <w:rFonts w:ascii="Times New Roman" w:hAnsi="Times New Roman" w:cs="Times New Roman"/>
          <w:bCs/>
          <w:szCs w:val="24"/>
        </w:rPr>
        <w:t>ięcia</w:t>
      </w:r>
      <w:r w:rsidRPr="008A0F17">
        <w:rPr>
          <w:rFonts w:ascii="Times New Roman" w:hAnsi="Times New Roman" w:cs="Times New Roman"/>
          <w:bCs/>
          <w:szCs w:val="24"/>
        </w:rPr>
        <w:t xml:space="preserve"> błędnej interpretacji przepisu i jednoznaczn</w:t>
      </w:r>
      <w:r w:rsidR="00627800" w:rsidRPr="008A0F17">
        <w:rPr>
          <w:rFonts w:ascii="Times New Roman" w:hAnsi="Times New Roman" w:cs="Times New Roman"/>
          <w:bCs/>
          <w:szCs w:val="24"/>
        </w:rPr>
        <w:t>ego</w:t>
      </w:r>
      <w:r w:rsidRPr="008A0F17">
        <w:rPr>
          <w:rFonts w:ascii="Times New Roman" w:hAnsi="Times New Roman" w:cs="Times New Roman"/>
          <w:bCs/>
          <w:szCs w:val="24"/>
        </w:rPr>
        <w:t xml:space="preserve"> określ</w:t>
      </w:r>
      <w:r w:rsidR="00627800" w:rsidRPr="008A0F17">
        <w:rPr>
          <w:rFonts w:ascii="Times New Roman" w:hAnsi="Times New Roman" w:cs="Times New Roman"/>
          <w:bCs/>
          <w:szCs w:val="24"/>
        </w:rPr>
        <w:t>enia</w:t>
      </w:r>
      <w:r w:rsidRPr="008A0F17">
        <w:rPr>
          <w:rFonts w:ascii="Times New Roman" w:hAnsi="Times New Roman" w:cs="Times New Roman"/>
          <w:bCs/>
          <w:szCs w:val="24"/>
        </w:rPr>
        <w:t xml:space="preserve"> podstawow</w:t>
      </w:r>
      <w:r w:rsidR="00627800" w:rsidRPr="008A0F17">
        <w:rPr>
          <w:rFonts w:ascii="Times New Roman" w:hAnsi="Times New Roman" w:cs="Times New Roman"/>
          <w:bCs/>
          <w:szCs w:val="24"/>
        </w:rPr>
        <w:t>ych</w:t>
      </w:r>
      <w:r w:rsidRPr="008A0F17">
        <w:rPr>
          <w:rFonts w:ascii="Times New Roman" w:hAnsi="Times New Roman" w:cs="Times New Roman"/>
          <w:bCs/>
          <w:szCs w:val="24"/>
        </w:rPr>
        <w:t xml:space="preserve"> wymaga</w:t>
      </w:r>
      <w:r w:rsidR="00627800" w:rsidRPr="008A0F17">
        <w:rPr>
          <w:rFonts w:ascii="Times New Roman" w:hAnsi="Times New Roman" w:cs="Times New Roman"/>
          <w:bCs/>
          <w:szCs w:val="24"/>
        </w:rPr>
        <w:t>ń</w:t>
      </w:r>
      <w:r w:rsidRPr="008A0F17">
        <w:rPr>
          <w:rFonts w:ascii="Times New Roman" w:hAnsi="Times New Roman" w:cs="Times New Roman"/>
          <w:bCs/>
          <w:szCs w:val="24"/>
        </w:rPr>
        <w:t xml:space="preserve"> dla najważniejszego elementu lotniska, </w:t>
      </w:r>
      <w:r w:rsidR="00627800" w:rsidRPr="008A0F17">
        <w:rPr>
          <w:rFonts w:ascii="Times New Roman" w:hAnsi="Times New Roman" w:cs="Times New Roman"/>
          <w:bCs/>
          <w:szCs w:val="24"/>
        </w:rPr>
        <w:t>tj.</w:t>
      </w:r>
      <w:r w:rsidRPr="008A0F17">
        <w:rPr>
          <w:rFonts w:ascii="Times New Roman" w:hAnsi="Times New Roman" w:cs="Times New Roman"/>
          <w:bCs/>
          <w:szCs w:val="24"/>
        </w:rPr>
        <w:t xml:space="preserve"> drog</w:t>
      </w:r>
      <w:r w:rsidR="00627800" w:rsidRPr="008A0F17">
        <w:rPr>
          <w:rFonts w:ascii="Times New Roman" w:hAnsi="Times New Roman" w:cs="Times New Roman"/>
          <w:bCs/>
          <w:szCs w:val="24"/>
        </w:rPr>
        <w:t>i</w:t>
      </w:r>
      <w:r w:rsidRPr="008A0F17">
        <w:rPr>
          <w:rFonts w:ascii="Times New Roman" w:hAnsi="Times New Roman" w:cs="Times New Roman"/>
          <w:bCs/>
          <w:szCs w:val="24"/>
        </w:rPr>
        <w:t xml:space="preserve"> startow</w:t>
      </w:r>
      <w:r w:rsidR="00627800" w:rsidRPr="008A0F17">
        <w:rPr>
          <w:rFonts w:ascii="Times New Roman" w:hAnsi="Times New Roman" w:cs="Times New Roman"/>
          <w:bCs/>
          <w:szCs w:val="24"/>
        </w:rPr>
        <w:t>ej</w:t>
      </w:r>
      <w:r w:rsidRPr="008A0F17">
        <w:rPr>
          <w:rFonts w:ascii="Times New Roman" w:hAnsi="Times New Roman" w:cs="Times New Roman"/>
          <w:bCs/>
          <w:szCs w:val="24"/>
        </w:rPr>
        <w:t>. Przepis ten ma kluczowe znaczenie dla bezpieczeństwa operacji na lotnisku. W</w:t>
      </w:r>
      <w:r w:rsidR="00C468B6" w:rsidRPr="008A0F17">
        <w:rPr>
          <w:rFonts w:ascii="Times New Roman" w:hAnsi="Times New Roman" w:cs="Times New Roman"/>
          <w:bCs/>
          <w:szCs w:val="24"/>
        </w:rPr>
        <w:t> </w:t>
      </w:r>
      <w:r w:rsidRPr="008A0F17">
        <w:rPr>
          <w:rFonts w:ascii="Times New Roman" w:hAnsi="Times New Roman" w:cs="Times New Roman"/>
          <w:bCs/>
          <w:szCs w:val="24"/>
        </w:rPr>
        <w:t>związku ze zmianą „pola wzlotów” na „drogę startową” konieczne jest dokonanie korekty kilku innych przepisów</w:t>
      </w:r>
      <w:r w:rsidR="00C468B6" w:rsidRPr="008A0F17">
        <w:rPr>
          <w:rFonts w:ascii="Times New Roman" w:hAnsi="Times New Roman" w:cs="Times New Roman"/>
          <w:bCs/>
          <w:szCs w:val="24"/>
        </w:rPr>
        <w:t xml:space="preserve"> w rozporządzeniu</w:t>
      </w:r>
      <w:r w:rsidRPr="008A0F17">
        <w:rPr>
          <w:rFonts w:ascii="Times New Roman" w:hAnsi="Times New Roman" w:cs="Times New Roman"/>
          <w:bCs/>
          <w:szCs w:val="24"/>
        </w:rPr>
        <w:t xml:space="preserve">, </w:t>
      </w:r>
      <w:r w:rsidR="00627800" w:rsidRPr="008A0F17">
        <w:rPr>
          <w:bCs/>
        </w:rPr>
        <w:t xml:space="preserve">o czym mowa </w:t>
      </w:r>
      <w:r w:rsidRPr="008A0F17">
        <w:rPr>
          <w:rFonts w:ascii="Times New Roman" w:hAnsi="Times New Roman" w:cs="Times New Roman"/>
          <w:bCs/>
          <w:szCs w:val="24"/>
        </w:rPr>
        <w:t>w dalszej części uzasadnienia.</w:t>
      </w:r>
    </w:p>
    <w:p w14:paraId="5FEF9835" w14:textId="779D29A4" w:rsidR="001C1049" w:rsidRPr="008A0F17" w:rsidRDefault="009916A4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bCs/>
          <w:szCs w:val="24"/>
        </w:rPr>
        <w:t>W §</w:t>
      </w:r>
      <w:r w:rsidR="00C468B6" w:rsidRPr="008A0F17">
        <w:rPr>
          <w:rFonts w:ascii="Times New Roman" w:hAnsi="Times New Roman" w:cs="Times New Roman"/>
          <w:bCs/>
          <w:szCs w:val="24"/>
        </w:rPr>
        <w:t> 1</w:t>
      </w:r>
      <w:r w:rsidRPr="008A0F17">
        <w:rPr>
          <w:rFonts w:ascii="Times New Roman" w:hAnsi="Times New Roman" w:cs="Times New Roman"/>
          <w:bCs/>
          <w:szCs w:val="24"/>
        </w:rPr>
        <w:t>3</w:t>
      </w:r>
      <w:r w:rsidR="00AC3FBF" w:rsidRPr="008A0F17">
        <w:rPr>
          <w:rFonts w:ascii="Times New Roman" w:hAnsi="Times New Roman" w:cs="Times New Roman"/>
          <w:bCs/>
          <w:szCs w:val="24"/>
        </w:rPr>
        <w:t xml:space="preserve"> (§ 1 pkt </w:t>
      </w:r>
      <w:r w:rsidR="003655A5" w:rsidRPr="008A0F17">
        <w:rPr>
          <w:rFonts w:ascii="Times New Roman" w:hAnsi="Times New Roman" w:cs="Times New Roman"/>
          <w:bCs/>
          <w:szCs w:val="24"/>
        </w:rPr>
        <w:t xml:space="preserve">6 </w:t>
      </w:r>
      <w:r w:rsidR="00AC3FBF" w:rsidRPr="008A0F17">
        <w:rPr>
          <w:rFonts w:ascii="Times New Roman" w:hAnsi="Times New Roman" w:cs="Times New Roman"/>
          <w:bCs/>
          <w:szCs w:val="24"/>
        </w:rPr>
        <w:t>lit. a rozporządzenia zmieniającego)</w:t>
      </w:r>
      <w:r w:rsidR="004B5324" w:rsidRPr="008A0F17">
        <w:rPr>
          <w:rFonts w:ascii="Times New Roman" w:hAnsi="Times New Roman" w:cs="Times New Roman"/>
          <w:bCs/>
          <w:szCs w:val="24"/>
        </w:rPr>
        <w:t xml:space="preserve"> </w:t>
      </w:r>
      <w:r w:rsidRPr="008A0F17">
        <w:rPr>
          <w:rFonts w:ascii="Times New Roman" w:hAnsi="Times New Roman" w:cs="Times New Roman"/>
          <w:bCs/>
          <w:szCs w:val="24"/>
        </w:rPr>
        <w:t>uszczegółowiono</w:t>
      </w:r>
      <w:r w:rsidR="00C468B6" w:rsidRPr="008A0F17">
        <w:rPr>
          <w:rFonts w:ascii="Times New Roman" w:hAnsi="Times New Roman" w:cs="Times New Roman"/>
          <w:szCs w:val="24"/>
        </w:rPr>
        <w:t xml:space="preserve"> </w:t>
      </w:r>
      <w:r w:rsidR="0065101E" w:rsidRPr="008A0F17">
        <w:rPr>
          <w:rFonts w:ascii="Times New Roman" w:hAnsi="Times New Roman" w:cs="Times New Roman"/>
          <w:szCs w:val="24"/>
        </w:rPr>
        <w:t xml:space="preserve">przepis </w:t>
      </w:r>
      <w:r w:rsidR="00C468B6" w:rsidRPr="008A0F17">
        <w:rPr>
          <w:rFonts w:ascii="Times New Roman" w:hAnsi="Times New Roman" w:cs="Times New Roman"/>
          <w:szCs w:val="24"/>
        </w:rPr>
        <w:t>ust. </w:t>
      </w:r>
      <w:r w:rsidRPr="008A0F17">
        <w:rPr>
          <w:rFonts w:ascii="Times New Roman" w:hAnsi="Times New Roman" w:cs="Times New Roman"/>
          <w:szCs w:val="24"/>
        </w:rPr>
        <w:t xml:space="preserve">3 </w:t>
      </w:r>
      <w:r w:rsidR="0065101E" w:rsidRPr="008A0F17">
        <w:rPr>
          <w:rFonts w:ascii="Times New Roman" w:hAnsi="Times New Roman" w:cs="Times New Roman"/>
          <w:szCs w:val="24"/>
        </w:rPr>
        <w:t>pkt 1 w zakresie</w:t>
      </w:r>
      <w:r w:rsidR="00F05B84" w:rsidRPr="008A0F17">
        <w:rPr>
          <w:rFonts w:ascii="Times New Roman" w:hAnsi="Times New Roman" w:cs="Times New Roman"/>
          <w:szCs w:val="24"/>
        </w:rPr>
        <w:t xml:space="preserve"> wymagań </w:t>
      </w:r>
      <w:r w:rsidR="00B6760E" w:rsidRPr="008A0F17">
        <w:rPr>
          <w:rFonts w:ascii="Times New Roman" w:hAnsi="Times New Roman" w:cs="Times New Roman"/>
          <w:szCs w:val="24"/>
        </w:rPr>
        <w:t xml:space="preserve">dla </w:t>
      </w:r>
      <w:r w:rsidR="00F05B84" w:rsidRPr="008A0F17">
        <w:rPr>
          <w:rFonts w:ascii="Times New Roman" w:hAnsi="Times New Roman" w:cs="Times New Roman"/>
          <w:szCs w:val="24"/>
        </w:rPr>
        <w:t>miejsc przeznaczonych do sprawdzania wysokościomierza przed lotem zgodnie z Załącznikiem 14 tom I.</w:t>
      </w:r>
      <w:r w:rsidR="0065101E" w:rsidRPr="008A0F17">
        <w:rPr>
          <w:rFonts w:ascii="Times New Roman" w:hAnsi="Times New Roman" w:cs="Times New Roman"/>
          <w:szCs w:val="24"/>
        </w:rPr>
        <w:t xml:space="preserve"> Dodano ust. </w:t>
      </w:r>
      <w:r w:rsidR="004F79C1" w:rsidRPr="008A0F17">
        <w:rPr>
          <w:rFonts w:ascii="Times New Roman" w:hAnsi="Times New Roman" w:cs="Times New Roman"/>
          <w:szCs w:val="24"/>
        </w:rPr>
        <w:t>4</w:t>
      </w:r>
      <w:r w:rsidR="00AC3FBF" w:rsidRPr="008A0F17">
        <w:rPr>
          <w:rFonts w:ascii="Times New Roman" w:hAnsi="Times New Roman" w:cs="Times New Roman"/>
          <w:szCs w:val="24"/>
        </w:rPr>
        <w:t xml:space="preserve"> (§ 1 pkt </w:t>
      </w:r>
      <w:r w:rsidR="003655A5" w:rsidRPr="008A0F17">
        <w:rPr>
          <w:rFonts w:ascii="Times New Roman" w:hAnsi="Times New Roman" w:cs="Times New Roman"/>
          <w:szCs w:val="24"/>
        </w:rPr>
        <w:t xml:space="preserve">6 </w:t>
      </w:r>
      <w:r w:rsidR="00AC3FBF" w:rsidRPr="008A0F17">
        <w:rPr>
          <w:rFonts w:ascii="Times New Roman" w:hAnsi="Times New Roman" w:cs="Times New Roman"/>
          <w:szCs w:val="24"/>
        </w:rPr>
        <w:t>lit. b rozporządzenia zmieniającego)</w:t>
      </w:r>
      <w:r w:rsidR="004B5324" w:rsidRPr="008A0F17">
        <w:rPr>
          <w:rFonts w:ascii="Times New Roman" w:hAnsi="Times New Roman" w:cs="Times New Roman"/>
          <w:szCs w:val="24"/>
        </w:rPr>
        <w:t xml:space="preserve"> </w:t>
      </w:r>
      <w:r w:rsidR="001C1049" w:rsidRPr="008A0F17">
        <w:rPr>
          <w:rFonts w:ascii="Times New Roman" w:hAnsi="Times New Roman" w:cs="Times New Roman"/>
          <w:szCs w:val="24"/>
        </w:rPr>
        <w:t>celem uszczegółowienia wymagań dla lotnisk dla śmigłowców</w:t>
      </w:r>
      <w:r w:rsidR="002804D9" w:rsidRPr="008A0F17">
        <w:rPr>
          <w:rFonts w:ascii="Times New Roman" w:hAnsi="Times New Roman" w:cs="Times New Roman"/>
          <w:szCs w:val="24"/>
        </w:rPr>
        <w:t>,</w:t>
      </w:r>
      <w:r w:rsidR="001C1049" w:rsidRPr="008A0F17">
        <w:rPr>
          <w:rFonts w:ascii="Times New Roman" w:hAnsi="Times New Roman" w:cs="Times New Roman"/>
          <w:szCs w:val="24"/>
        </w:rPr>
        <w:t xml:space="preserve"> znajdujących się na lotniskach dla samolotów z drogą startową bez nawierzchni sztucznej.</w:t>
      </w:r>
    </w:p>
    <w:p w14:paraId="3715AF2A" w14:textId="0FBA32A2" w:rsidR="00177774" w:rsidRPr="008A0F17" w:rsidRDefault="004F1515" w:rsidP="00177774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 xml:space="preserve">Przepis </w:t>
      </w:r>
      <w:r w:rsidR="00547FC1" w:rsidRPr="008A0F17">
        <w:rPr>
          <w:rFonts w:ascii="Times New Roman" w:hAnsi="Times New Roman" w:cs="Times New Roman"/>
          <w:szCs w:val="24"/>
        </w:rPr>
        <w:t xml:space="preserve"> </w:t>
      </w:r>
      <w:r w:rsidR="00177774" w:rsidRPr="008A0F17">
        <w:rPr>
          <w:rFonts w:ascii="Times New Roman" w:hAnsi="Times New Roman" w:cs="Times New Roman"/>
          <w:szCs w:val="24"/>
        </w:rPr>
        <w:t xml:space="preserve">§ 14 rozporządzenia uchyla się (§ 1 pkt 7 rozporządzenia zmieniającego). </w:t>
      </w:r>
      <w:r w:rsidR="00177774" w:rsidRPr="008A0F17">
        <w:rPr>
          <w:rFonts w:eastAsia="Times New Roman" w:cs="Times New Roman"/>
          <w:color w:val="000000"/>
          <w:szCs w:val="24"/>
          <w:lang w:eastAsia="en-GB"/>
        </w:rPr>
        <w:t>Obecnie kod referencyjny lotniska należy określać przy pomocy cyfry i litery kodu, zgodnie z pkt 1.6 Załącznika 14</w:t>
      </w:r>
      <w:r w:rsidRPr="008A0F17">
        <w:rPr>
          <w:rFonts w:eastAsia="Times New Roman" w:cs="Times New Roman"/>
          <w:color w:val="000000"/>
          <w:szCs w:val="24"/>
          <w:lang w:eastAsia="en-GB"/>
        </w:rPr>
        <w:t>.</w:t>
      </w:r>
    </w:p>
    <w:p w14:paraId="05AF1348" w14:textId="49BCF3EF" w:rsidR="00F05B84" w:rsidRPr="008A0F17" w:rsidRDefault="004F79C1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W §</w:t>
      </w:r>
      <w:r w:rsidR="00C468B6" w:rsidRPr="008A0F17">
        <w:rPr>
          <w:rFonts w:ascii="Times New Roman" w:hAnsi="Times New Roman" w:cs="Times New Roman"/>
          <w:szCs w:val="24"/>
        </w:rPr>
        <w:t> </w:t>
      </w:r>
      <w:r w:rsidRPr="008A0F17">
        <w:rPr>
          <w:rFonts w:ascii="Times New Roman" w:hAnsi="Times New Roman" w:cs="Times New Roman"/>
          <w:szCs w:val="24"/>
        </w:rPr>
        <w:t>18</w:t>
      </w:r>
      <w:r w:rsidR="00DD3422" w:rsidRPr="008A0F17">
        <w:rPr>
          <w:rFonts w:ascii="Times New Roman" w:hAnsi="Times New Roman" w:cs="Times New Roman"/>
          <w:szCs w:val="24"/>
        </w:rPr>
        <w:t xml:space="preserve"> </w:t>
      </w:r>
      <w:r w:rsidR="00F9280F" w:rsidRPr="008A0F17">
        <w:rPr>
          <w:rFonts w:ascii="Times New Roman" w:hAnsi="Times New Roman" w:cs="Times New Roman"/>
          <w:szCs w:val="24"/>
        </w:rPr>
        <w:t>uchyl</w:t>
      </w:r>
      <w:r w:rsidR="002804D9" w:rsidRPr="008A0F17">
        <w:rPr>
          <w:rFonts w:ascii="Times New Roman" w:hAnsi="Times New Roman" w:cs="Times New Roman"/>
          <w:szCs w:val="24"/>
        </w:rPr>
        <w:t>ono</w:t>
      </w:r>
      <w:r w:rsidR="00F9280F" w:rsidRPr="008A0F17">
        <w:rPr>
          <w:rFonts w:ascii="Times New Roman" w:hAnsi="Times New Roman" w:cs="Times New Roman"/>
          <w:szCs w:val="24"/>
        </w:rPr>
        <w:t xml:space="preserve"> </w:t>
      </w:r>
      <w:r w:rsidR="00F05B84" w:rsidRPr="008A0F17">
        <w:rPr>
          <w:rFonts w:ascii="Times New Roman" w:hAnsi="Times New Roman" w:cs="Times New Roman"/>
          <w:szCs w:val="24"/>
        </w:rPr>
        <w:t>pkt 2 i 3</w:t>
      </w:r>
      <w:r w:rsidR="00AC3FBF" w:rsidRPr="008A0F17">
        <w:rPr>
          <w:rFonts w:ascii="Times New Roman" w:hAnsi="Times New Roman" w:cs="Times New Roman"/>
          <w:szCs w:val="24"/>
        </w:rPr>
        <w:t xml:space="preserve"> (§ 1 pkt 8 rozporządzenia zmieniającego)</w:t>
      </w:r>
      <w:r w:rsidR="00F05B84" w:rsidRPr="008A0F17">
        <w:rPr>
          <w:rFonts w:ascii="Times New Roman" w:hAnsi="Times New Roman" w:cs="Times New Roman"/>
          <w:szCs w:val="24"/>
        </w:rPr>
        <w:t xml:space="preserve"> w związku ze zmianami w </w:t>
      </w:r>
      <w:r w:rsidR="009C2B3F" w:rsidRPr="008A0F17">
        <w:rPr>
          <w:rFonts w:ascii="Times New Roman" w:hAnsi="Times New Roman" w:cs="Times New Roman"/>
          <w:szCs w:val="24"/>
        </w:rPr>
        <w:t xml:space="preserve">§ 12 i </w:t>
      </w:r>
      <w:r w:rsidR="00F05B84" w:rsidRPr="008A0F17">
        <w:rPr>
          <w:rFonts w:ascii="Times New Roman" w:hAnsi="Times New Roman" w:cs="Times New Roman"/>
          <w:szCs w:val="24"/>
        </w:rPr>
        <w:t>§</w:t>
      </w:r>
      <w:r w:rsidR="0065101E" w:rsidRPr="008A0F17">
        <w:rPr>
          <w:rFonts w:ascii="Times New Roman" w:hAnsi="Times New Roman" w:cs="Times New Roman"/>
          <w:szCs w:val="24"/>
        </w:rPr>
        <w:t> </w:t>
      </w:r>
      <w:r w:rsidR="00F05B84" w:rsidRPr="008A0F17">
        <w:rPr>
          <w:rFonts w:ascii="Times New Roman" w:hAnsi="Times New Roman" w:cs="Times New Roman"/>
          <w:szCs w:val="24"/>
        </w:rPr>
        <w:t>23.</w:t>
      </w:r>
    </w:p>
    <w:p w14:paraId="3063066F" w14:textId="65BE7718" w:rsidR="001B0BC9" w:rsidRPr="008A0F17" w:rsidRDefault="001B0BC9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bCs/>
        </w:rPr>
        <w:t xml:space="preserve">W § 21 w ust. 4 </w:t>
      </w:r>
      <w:r w:rsidR="005A3A48" w:rsidRPr="008A0F17">
        <w:rPr>
          <w:rFonts w:ascii="Times New Roman" w:hAnsi="Times New Roman" w:cs="Times New Roman"/>
          <w:szCs w:val="24"/>
        </w:rPr>
        <w:t xml:space="preserve">(§ 1 pkt 9 rozporządzenia zmieniającego) </w:t>
      </w:r>
      <w:r w:rsidRPr="008A0F17">
        <w:rPr>
          <w:bCs/>
        </w:rPr>
        <w:t>usunięto wyraz „zabezpieczeniem”</w:t>
      </w:r>
      <w:r w:rsidR="005A3A48" w:rsidRPr="008A0F17">
        <w:rPr>
          <w:bCs/>
        </w:rPr>
        <w:t>. Z</w:t>
      </w:r>
      <w:r w:rsidRPr="008A0F17">
        <w:rPr>
          <w:bCs/>
        </w:rPr>
        <w:t xml:space="preserve">godnie ze zmianą w § 27 ust. 1 </w:t>
      </w:r>
      <w:r w:rsidR="00170F88" w:rsidRPr="008A0F17">
        <w:rPr>
          <w:bCs/>
        </w:rPr>
        <w:t xml:space="preserve">pojęcie </w:t>
      </w:r>
      <w:r w:rsidRPr="008A0F17">
        <w:rPr>
          <w:bCs/>
        </w:rPr>
        <w:t xml:space="preserve">„zabezpieczenie pola wzlotów” już nie istnieje, gdyż zostało zastąpione przez </w:t>
      </w:r>
      <w:r w:rsidR="00170F88" w:rsidRPr="008A0F17">
        <w:rPr>
          <w:bCs/>
        </w:rPr>
        <w:t>pojęcie „</w:t>
      </w:r>
      <w:r w:rsidRPr="008A0F17">
        <w:rPr>
          <w:bCs/>
        </w:rPr>
        <w:t>zabezpieczeni</w:t>
      </w:r>
      <w:r w:rsidR="00170F88" w:rsidRPr="008A0F17">
        <w:rPr>
          <w:bCs/>
        </w:rPr>
        <w:t>e</w:t>
      </w:r>
      <w:r w:rsidRPr="008A0F17">
        <w:rPr>
          <w:bCs/>
        </w:rPr>
        <w:t xml:space="preserve"> pola wzlotów</w:t>
      </w:r>
      <w:r w:rsidR="00170F88" w:rsidRPr="008A0F17">
        <w:rPr>
          <w:bCs/>
        </w:rPr>
        <w:t>”</w:t>
      </w:r>
      <w:r w:rsidR="00C10DE2" w:rsidRPr="008A0F17">
        <w:rPr>
          <w:bCs/>
        </w:rPr>
        <w:t>.</w:t>
      </w:r>
    </w:p>
    <w:p w14:paraId="28836575" w14:textId="10849304" w:rsidR="00F05B84" w:rsidRPr="004802A7" w:rsidRDefault="001C1049" w:rsidP="005A3A48">
      <w:pPr>
        <w:spacing w:line="288" w:lineRule="auto"/>
        <w:rPr>
          <w:rFonts w:cs="Times New Roman"/>
          <w:szCs w:val="24"/>
        </w:rPr>
      </w:pPr>
      <w:r w:rsidRPr="008A0F17">
        <w:rPr>
          <w:rFonts w:cs="Times New Roman"/>
          <w:bCs/>
          <w:szCs w:val="24"/>
        </w:rPr>
        <w:t>W §</w:t>
      </w:r>
      <w:r w:rsidR="00C468B6" w:rsidRPr="008A0F17">
        <w:rPr>
          <w:rFonts w:cs="Times New Roman"/>
          <w:bCs/>
          <w:szCs w:val="24"/>
        </w:rPr>
        <w:t> </w:t>
      </w:r>
      <w:r w:rsidR="004F79C1" w:rsidRPr="008A0F17">
        <w:rPr>
          <w:rFonts w:cs="Times New Roman"/>
          <w:bCs/>
          <w:szCs w:val="24"/>
        </w:rPr>
        <w:t>23</w:t>
      </w:r>
      <w:r w:rsidR="00AC3FBF" w:rsidRPr="008A0F17">
        <w:rPr>
          <w:rFonts w:cs="Times New Roman"/>
          <w:bCs/>
          <w:szCs w:val="24"/>
        </w:rPr>
        <w:t xml:space="preserve"> (§ 1 pkt </w:t>
      </w:r>
      <w:r w:rsidR="0011194C" w:rsidRPr="008A0F17">
        <w:rPr>
          <w:rFonts w:cs="Times New Roman"/>
          <w:bCs/>
          <w:szCs w:val="24"/>
        </w:rPr>
        <w:t>10</w:t>
      </w:r>
      <w:r w:rsidR="00AC3FBF" w:rsidRPr="008A0F17">
        <w:rPr>
          <w:rFonts w:cs="Times New Roman"/>
          <w:bCs/>
          <w:szCs w:val="24"/>
        </w:rPr>
        <w:t xml:space="preserve"> rozporządzenia zmieniającego)</w:t>
      </w:r>
      <w:r w:rsidRPr="008A0F17">
        <w:rPr>
          <w:rFonts w:cs="Times New Roman"/>
          <w:bCs/>
          <w:szCs w:val="24"/>
        </w:rPr>
        <w:t xml:space="preserve"> </w:t>
      </w:r>
      <w:r w:rsidR="009C2B3F" w:rsidRPr="008A0F17">
        <w:rPr>
          <w:rFonts w:cs="Times New Roman"/>
          <w:bCs/>
          <w:szCs w:val="24"/>
        </w:rPr>
        <w:t xml:space="preserve">ze względu na zmianę w § 12 </w:t>
      </w:r>
      <w:r w:rsidRPr="008A0F17">
        <w:rPr>
          <w:rFonts w:cs="Times New Roman"/>
          <w:szCs w:val="24"/>
        </w:rPr>
        <w:t xml:space="preserve">oznaczniki „granicy pola wzlotów” zastąpiono </w:t>
      </w:r>
      <w:r w:rsidRPr="008A0F17">
        <w:rPr>
          <w:rFonts w:cs="Times New Roman"/>
          <w:bCs/>
          <w:szCs w:val="24"/>
        </w:rPr>
        <w:t>określeniem oznaczniki</w:t>
      </w:r>
      <w:r w:rsidRPr="008A0F17">
        <w:rPr>
          <w:rFonts w:cs="Times New Roman"/>
          <w:szCs w:val="24"/>
        </w:rPr>
        <w:t xml:space="preserve"> „</w:t>
      </w:r>
      <w:r w:rsidRPr="008A0F17">
        <w:rPr>
          <w:rFonts w:eastAsia="Calibri" w:cs="Times New Roman"/>
          <w:bCs/>
          <w:szCs w:val="24"/>
        </w:rPr>
        <w:t>k</w:t>
      </w:r>
      <w:r w:rsidRPr="008A0F17">
        <w:rPr>
          <w:rFonts w:eastAsia="Calibri" w:cs="Times New Roman"/>
          <w:szCs w:val="24"/>
        </w:rPr>
        <w:t xml:space="preserve">rawędzi dróg startowych”. Celem zmiany jest </w:t>
      </w:r>
      <w:r w:rsidRPr="008A0F17">
        <w:rPr>
          <w:rFonts w:cs="Times New Roman"/>
          <w:szCs w:val="24"/>
        </w:rPr>
        <w:t>ujednolicenie nazewni</w:t>
      </w:r>
      <w:r w:rsidRPr="004802A7">
        <w:rPr>
          <w:rFonts w:cs="Times New Roman"/>
          <w:szCs w:val="24"/>
        </w:rPr>
        <w:t>ctwa zgodnie z Załącznikiem 14 Tom I pkt 5.5.2.</w:t>
      </w:r>
      <w:r w:rsidR="00F05B84" w:rsidRPr="004802A7">
        <w:rPr>
          <w:rFonts w:cs="Times New Roman"/>
          <w:szCs w:val="24"/>
        </w:rPr>
        <w:t xml:space="preserve"> </w:t>
      </w:r>
      <w:r w:rsidR="00F05B84" w:rsidRPr="004802A7">
        <w:rPr>
          <w:rFonts w:eastAsia="Calibri" w:cs="Times New Roman"/>
          <w:szCs w:val="24"/>
        </w:rPr>
        <w:t>Zmiana sposobu oznakowania ma na celu poprawę bezpieczeństwa</w:t>
      </w:r>
      <w:r w:rsidR="002804D9" w:rsidRPr="004802A7">
        <w:rPr>
          <w:rFonts w:eastAsia="Calibri" w:cs="Times New Roman"/>
          <w:szCs w:val="24"/>
        </w:rPr>
        <w:t>.</w:t>
      </w:r>
      <w:r w:rsidR="00F05B84" w:rsidRPr="004802A7">
        <w:rPr>
          <w:rFonts w:eastAsia="Calibri" w:cs="Times New Roman"/>
          <w:szCs w:val="24"/>
        </w:rPr>
        <w:t xml:space="preserve"> </w:t>
      </w:r>
      <w:r w:rsidR="002804D9" w:rsidRPr="004802A7">
        <w:rPr>
          <w:rFonts w:eastAsia="Calibri" w:cs="Times New Roman"/>
          <w:szCs w:val="24"/>
        </w:rPr>
        <w:t xml:space="preserve">Bez </w:t>
      </w:r>
      <w:r w:rsidR="00F05B84" w:rsidRPr="004802A7">
        <w:rPr>
          <w:rFonts w:eastAsia="Calibri" w:cs="Times New Roman"/>
          <w:szCs w:val="24"/>
        </w:rPr>
        <w:t>wyznaczonej drogi startowej na polu wzlotów samolot może przyziemić lub wystartować w miejscu do tego nieprzystosowanym</w:t>
      </w:r>
      <w:r w:rsidR="002804D9" w:rsidRPr="004802A7">
        <w:rPr>
          <w:rFonts w:eastAsia="Calibri" w:cs="Times New Roman"/>
          <w:szCs w:val="24"/>
        </w:rPr>
        <w:t>.</w:t>
      </w:r>
      <w:r w:rsidR="00F05B84" w:rsidRPr="004802A7">
        <w:rPr>
          <w:rFonts w:eastAsia="Calibri" w:cs="Times New Roman"/>
          <w:szCs w:val="24"/>
        </w:rPr>
        <w:t xml:space="preserve"> </w:t>
      </w:r>
      <w:r w:rsidR="002804D9" w:rsidRPr="004802A7">
        <w:rPr>
          <w:rFonts w:eastAsia="Calibri" w:cs="Times New Roman"/>
          <w:szCs w:val="24"/>
        </w:rPr>
        <w:t>P</w:t>
      </w:r>
      <w:r w:rsidR="00F05B84" w:rsidRPr="004802A7">
        <w:rPr>
          <w:rFonts w:eastAsia="Calibri" w:cs="Times New Roman"/>
          <w:szCs w:val="24"/>
        </w:rPr>
        <w:t>owierzchnie ograniczające przeszkody, które co do zasady ograniczają przeszkody i zabudowę w rejonie lotniska</w:t>
      </w:r>
      <w:r w:rsidR="002804D9" w:rsidRPr="004802A7">
        <w:rPr>
          <w:rFonts w:eastAsia="Calibri" w:cs="Times New Roman"/>
          <w:szCs w:val="24"/>
        </w:rPr>
        <w:t>,</w:t>
      </w:r>
      <w:r w:rsidR="00F05B84" w:rsidRPr="004802A7">
        <w:rPr>
          <w:rFonts w:eastAsia="Calibri" w:cs="Times New Roman"/>
          <w:szCs w:val="24"/>
        </w:rPr>
        <w:t xml:space="preserve"> </w:t>
      </w:r>
      <w:r w:rsidR="00A6182A">
        <w:rPr>
          <w:rFonts w:eastAsia="Calibri" w:cs="Times New Roman"/>
          <w:szCs w:val="24"/>
        </w:rPr>
        <w:t xml:space="preserve">są </w:t>
      </w:r>
      <w:r w:rsidR="00F05B84" w:rsidRPr="004802A7">
        <w:rPr>
          <w:rFonts w:eastAsia="Calibri" w:cs="Times New Roman"/>
          <w:szCs w:val="24"/>
        </w:rPr>
        <w:t>wyznaczane od drogi startowej a nie od pola wzlotów.</w:t>
      </w:r>
      <w:r w:rsidR="002804D9" w:rsidRPr="004802A7">
        <w:rPr>
          <w:rFonts w:eastAsia="Calibri" w:cs="Times New Roman"/>
          <w:szCs w:val="24"/>
        </w:rPr>
        <w:t xml:space="preserve"> </w:t>
      </w:r>
      <w:r w:rsidR="009E619B" w:rsidRPr="004802A7">
        <w:rPr>
          <w:rFonts w:eastAsia="Calibri" w:cs="Times New Roman"/>
          <w:szCs w:val="24"/>
        </w:rPr>
        <w:t>Z tego względu</w:t>
      </w:r>
      <w:r w:rsidR="009E619B" w:rsidRPr="004802A7">
        <w:rPr>
          <w:rFonts w:cs="Times New Roman"/>
          <w:szCs w:val="24"/>
        </w:rPr>
        <w:t xml:space="preserve"> </w:t>
      </w:r>
      <w:r w:rsidR="00F05B84" w:rsidRPr="004802A7">
        <w:rPr>
          <w:rFonts w:cs="Times New Roman"/>
          <w:szCs w:val="24"/>
        </w:rPr>
        <w:t>startując lub lądując z pola wzlotów z miejsca, które nie jest drogą startową, samolot może zd</w:t>
      </w:r>
      <w:r w:rsidR="002804D9" w:rsidRPr="004802A7">
        <w:rPr>
          <w:rFonts w:cs="Times New Roman"/>
          <w:szCs w:val="24"/>
        </w:rPr>
        <w:t>e</w:t>
      </w:r>
      <w:r w:rsidR="00F05B84" w:rsidRPr="004802A7">
        <w:rPr>
          <w:rFonts w:cs="Times New Roman"/>
          <w:szCs w:val="24"/>
        </w:rPr>
        <w:t>rzyć</w:t>
      </w:r>
      <w:r w:rsidR="00992301" w:rsidRPr="004802A7">
        <w:rPr>
          <w:rFonts w:cs="Times New Roman"/>
          <w:szCs w:val="24"/>
        </w:rPr>
        <w:t xml:space="preserve"> </w:t>
      </w:r>
      <w:r w:rsidR="00F05B84" w:rsidRPr="004802A7">
        <w:rPr>
          <w:rFonts w:cs="Times New Roman"/>
          <w:szCs w:val="24"/>
        </w:rPr>
        <w:t>się z</w:t>
      </w:r>
      <w:r w:rsidR="004802A7" w:rsidRPr="004802A7">
        <w:rPr>
          <w:rFonts w:cs="Times New Roman"/>
          <w:szCs w:val="24"/>
        </w:rPr>
        <w:t> </w:t>
      </w:r>
      <w:r w:rsidR="00F05B84" w:rsidRPr="004802A7">
        <w:rPr>
          <w:rFonts w:cs="Times New Roman"/>
          <w:szCs w:val="24"/>
        </w:rPr>
        <w:t xml:space="preserve"> obiektem</w:t>
      </w:r>
      <w:r w:rsidR="002804D9" w:rsidRPr="004802A7">
        <w:rPr>
          <w:rFonts w:cs="Times New Roman"/>
          <w:szCs w:val="24"/>
        </w:rPr>
        <w:t>,</w:t>
      </w:r>
      <w:r w:rsidR="00F05B84" w:rsidRPr="004802A7">
        <w:rPr>
          <w:rFonts w:cs="Times New Roman"/>
          <w:szCs w:val="24"/>
        </w:rPr>
        <w:t xml:space="preserve"> który nie jest przeszkodą lotniczą. </w:t>
      </w:r>
      <w:r w:rsidR="002804D9" w:rsidRPr="004802A7">
        <w:rPr>
          <w:rFonts w:eastAsia="Calibri" w:cs="Times New Roman"/>
          <w:szCs w:val="24"/>
        </w:rPr>
        <w:t>Proponowane prze</w:t>
      </w:r>
      <w:r w:rsidR="00F05B84" w:rsidRPr="004802A7">
        <w:rPr>
          <w:rFonts w:cs="Times New Roman"/>
          <w:szCs w:val="24"/>
        </w:rPr>
        <w:t>pisy eliminują to zagrożenie.</w:t>
      </w:r>
    </w:p>
    <w:p w14:paraId="53D80B1A" w14:textId="6D1BB219" w:rsidR="00F05B84" w:rsidRDefault="00F05B84" w:rsidP="005A3A48">
      <w:pPr>
        <w:spacing w:line="288" w:lineRule="auto"/>
        <w:rPr>
          <w:rFonts w:eastAsia="Calibri" w:cs="Times New Roman"/>
          <w:color w:val="auto"/>
          <w:szCs w:val="24"/>
          <w:lang w:eastAsia="pl-PL"/>
        </w:rPr>
      </w:pPr>
      <w:r w:rsidRPr="004802A7">
        <w:rPr>
          <w:rFonts w:eastAsia="Calibri" w:cs="Times New Roman"/>
          <w:color w:val="auto"/>
          <w:szCs w:val="24"/>
          <w:lang w:eastAsia="pl-PL"/>
        </w:rPr>
        <w:t>Na lotnisku bez nawierzchni sztucznej zmiana sposobu oznakowania nie będzie generowała kosztów</w:t>
      </w:r>
      <w:r w:rsidR="002804D9" w:rsidRPr="004802A7">
        <w:rPr>
          <w:rFonts w:eastAsia="Calibri" w:cs="Times New Roman"/>
          <w:color w:val="auto"/>
          <w:szCs w:val="24"/>
          <w:lang w:eastAsia="pl-PL"/>
        </w:rPr>
        <w:t>. J</w:t>
      </w:r>
      <w:r w:rsidRPr="004802A7">
        <w:rPr>
          <w:rFonts w:eastAsia="Calibri" w:cs="Times New Roman"/>
          <w:color w:val="auto"/>
          <w:szCs w:val="24"/>
          <w:lang w:eastAsia="pl-PL"/>
        </w:rPr>
        <w:t>est to kwestia przeniesienia ograniczników (kształt i wymiary ograniczników pozostają bez zmian)</w:t>
      </w:r>
      <w:r w:rsidR="009E619B" w:rsidRPr="004802A7">
        <w:rPr>
          <w:rFonts w:eastAsia="Calibri" w:cs="Times New Roman"/>
          <w:color w:val="auto"/>
          <w:szCs w:val="24"/>
          <w:lang w:eastAsia="pl-PL"/>
        </w:rPr>
        <w:t xml:space="preserve">, </w:t>
      </w:r>
      <w:r w:rsidR="009E619B" w:rsidRPr="004802A7">
        <w:rPr>
          <w:rFonts w:cs="Times New Roman"/>
          <w:szCs w:val="24"/>
        </w:rPr>
        <w:t>co uzasadnia</w:t>
      </w:r>
      <w:r w:rsidRPr="004802A7">
        <w:rPr>
          <w:rFonts w:eastAsia="Calibri" w:cs="Times New Roman"/>
          <w:color w:val="auto"/>
          <w:szCs w:val="24"/>
          <w:lang w:eastAsia="pl-PL"/>
        </w:rPr>
        <w:t xml:space="preserve"> </w:t>
      </w:r>
      <w:r w:rsidR="00EE3F62" w:rsidRPr="004802A7">
        <w:rPr>
          <w:rFonts w:eastAsia="Calibri" w:cs="Times New Roman"/>
          <w:i/>
          <w:color w:val="auto"/>
          <w:szCs w:val="24"/>
          <w:lang w:eastAsia="pl-PL"/>
        </w:rPr>
        <w:t>vacatio legis</w:t>
      </w:r>
      <w:r w:rsidRPr="004802A7">
        <w:rPr>
          <w:rFonts w:eastAsia="Calibri" w:cs="Times New Roman"/>
          <w:color w:val="auto"/>
          <w:szCs w:val="24"/>
          <w:lang w:eastAsia="pl-PL"/>
        </w:rPr>
        <w:t xml:space="preserve"> </w:t>
      </w:r>
      <w:r w:rsidR="009E619B" w:rsidRPr="004802A7">
        <w:rPr>
          <w:rFonts w:cs="Times New Roman"/>
          <w:szCs w:val="24"/>
        </w:rPr>
        <w:t>dla tego działania</w:t>
      </w:r>
      <w:r w:rsidR="009C2B3F" w:rsidRPr="004802A7">
        <w:rPr>
          <w:rFonts w:cs="Times New Roman"/>
          <w:szCs w:val="24"/>
        </w:rPr>
        <w:t>,</w:t>
      </w:r>
      <w:r w:rsidR="009E619B" w:rsidRPr="004802A7">
        <w:rPr>
          <w:rFonts w:cs="Times New Roman"/>
          <w:szCs w:val="24"/>
        </w:rPr>
        <w:t xml:space="preserve"> </w:t>
      </w:r>
      <w:r w:rsidRPr="004802A7">
        <w:rPr>
          <w:rFonts w:eastAsia="Calibri" w:cs="Times New Roman"/>
          <w:color w:val="auto"/>
          <w:szCs w:val="24"/>
          <w:lang w:eastAsia="pl-PL"/>
        </w:rPr>
        <w:t>nie dłuższ</w:t>
      </w:r>
      <w:r w:rsidR="009E619B" w:rsidRPr="004802A7">
        <w:rPr>
          <w:rFonts w:eastAsia="Calibri" w:cs="Times New Roman"/>
          <w:color w:val="auto"/>
          <w:szCs w:val="24"/>
          <w:lang w:eastAsia="pl-PL"/>
        </w:rPr>
        <w:t>e</w:t>
      </w:r>
      <w:r w:rsidRPr="004802A7">
        <w:rPr>
          <w:rFonts w:eastAsia="Calibri" w:cs="Times New Roman"/>
          <w:color w:val="auto"/>
          <w:szCs w:val="24"/>
          <w:lang w:eastAsia="pl-PL"/>
        </w:rPr>
        <w:t xml:space="preserve"> niż </w:t>
      </w:r>
      <w:r w:rsidR="001A4EC9" w:rsidRPr="004802A7">
        <w:rPr>
          <w:rFonts w:eastAsia="Calibri" w:cs="Times New Roman"/>
          <w:color w:val="auto"/>
          <w:szCs w:val="24"/>
          <w:lang w:eastAsia="pl-PL"/>
        </w:rPr>
        <w:t>6</w:t>
      </w:r>
      <w:r w:rsidRPr="004802A7">
        <w:rPr>
          <w:rFonts w:eastAsia="Calibri" w:cs="Times New Roman"/>
          <w:color w:val="auto"/>
          <w:szCs w:val="24"/>
          <w:lang w:eastAsia="pl-PL"/>
        </w:rPr>
        <w:t xml:space="preserve"> </w:t>
      </w:r>
      <w:r w:rsidR="001A4EC9" w:rsidRPr="004802A7">
        <w:rPr>
          <w:rFonts w:eastAsia="Calibri" w:cs="Times New Roman"/>
          <w:color w:val="auto"/>
          <w:szCs w:val="24"/>
          <w:lang w:eastAsia="pl-PL"/>
        </w:rPr>
        <w:t>miesięcy</w:t>
      </w:r>
      <w:r w:rsidR="0011194C">
        <w:rPr>
          <w:rFonts w:eastAsia="Calibri" w:cs="Times New Roman"/>
          <w:color w:val="auto"/>
          <w:szCs w:val="24"/>
          <w:lang w:eastAsia="pl-PL"/>
        </w:rPr>
        <w:t xml:space="preserve"> od nie ogłoszenia projektowanego rozporządzenia</w:t>
      </w:r>
      <w:r w:rsidRPr="004802A7">
        <w:rPr>
          <w:rFonts w:eastAsia="Calibri" w:cs="Times New Roman"/>
          <w:color w:val="auto"/>
          <w:szCs w:val="24"/>
          <w:lang w:eastAsia="pl-PL"/>
        </w:rPr>
        <w:t>.</w:t>
      </w:r>
    </w:p>
    <w:p w14:paraId="08FFDE77" w14:textId="6D395939" w:rsidR="0014635F" w:rsidRPr="008A0F17" w:rsidRDefault="0014635F" w:rsidP="0014635F">
      <w:pPr>
        <w:spacing w:line="288" w:lineRule="auto"/>
        <w:rPr>
          <w:bCs/>
        </w:rPr>
      </w:pPr>
      <w:r w:rsidRPr="00D83BB3">
        <w:rPr>
          <w:color w:val="auto"/>
        </w:rPr>
        <w:t xml:space="preserve">W </w:t>
      </w:r>
      <w:r w:rsidRPr="00FB7D43">
        <w:rPr>
          <w:color w:val="auto"/>
        </w:rPr>
        <w:t>§ 24</w:t>
      </w:r>
      <w:r w:rsidRPr="00D83BB3">
        <w:rPr>
          <w:b/>
          <w:color w:val="auto"/>
        </w:rPr>
        <w:t xml:space="preserve"> </w:t>
      </w:r>
      <w:r w:rsidRPr="008A0F17">
        <w:rPr>
          <w:color w:val="auto"/>
        </w:rPr>
        <w:t>ust. 1</w:t>
      </w:r>
      <w:r w:rsidR="00AC3FBF" w:rsidRPr="008A0F17">
        <w:rPr>
          <w:color w:val="auto"/>
        </w:rPr>
        <w:t xml:space="preserve"> (§</w:t>
      </w:r>
      <w:r w:rsidR="004565D6" w:rsidRPr="008A0F17">
        <w:rPr>
          <w:color w:val="auto"/>
        </w:rPr>
        <w:t xml:space="preserve"> </w:t>
      </w:r>
      <w:r w:rsidR="00AC3FBF" w:rsidRPr="008A0F17">
        <w:rPr>
          <w:color w:val="auto"/>
        </w:rPr>
        <w:t>1 pkt 1</w:t>
      </w:r>
      <w:r w:rsidR="0011194C" w:rsidRPr="008A0F17">
        <w:rPr>
          <w:color w:val="auto"/>
        </w:rPr>
        <w:t>1</w:t>
      </w:r>
      <w:r w:rsidR="007712E2" w:rsidRPr="008A0F17">
        <w:rPr>
          <w:color w:val="auto"/>
        </w:rPr>
        <w:t xml:space="preserve"> lit. a</w:t>
      </w:r>
      <w:r w:rsidR="00AC3FBF" w:rsidRPr="008A0F17">
        <w:rPr>
          <w:color w:val="auto"/>
        </w:rPr>
        <w:t xml:space="preserve"> rozporządzenia zmieniającego)</w:t>
      </w:r>
      <w:r w:rsidRPr="008A0F17">
        <w:rPr>
          <w:color w:val="auto"/>
        </w:rPr>
        <w:t xml:space="preserve"> zostaje zmieniony </w:t>
      </w:r>
      <w:r w:rsidRPr="008A0F17">
        <w:rPr>
          <w:bCs/>
        </w:rPr>
        <w:t>ze względu na zmianę w § 12 (oznaczniki granicy pola wzlotów zastępuje się oznaczni</w:t>
      </w:r>
      <w:r w:rsidR="00C10DE2" w:rsidRPr="008A0F17">
        <w:rPr>
          <w:bCs/>
        </w:rPr>
        <w:t>kami krawędzi drogi startowej).</w:t>
      </w:r>
    </w:p>
    <w:p w14:paraId="5B0641E3" w14:textId="36A195E4" w:rsidR="0014635F" w:rsidRPr="008A0F17" w:rsidRDefault="0014635F" w:rsidP="0014635F">
      <w:pPr>
        <w:spacing w:line="288" w:lineRule="auto"/>
        <w:rPr>
          <w:color w:val="auto"/>
        </w:rPr>
      </w:pPr>
      <w:r w:rsidRPr="008A0F17">
        <w:rPr>
          <w:color w:val="auto"/>
        </w:rPr>
        <w:t>W § 24 u</w:t>
      </w:r>
      <w:r w:rsidRPr="008A0F17">
        <w:t xml:space="preserve">zupełniono przepis ust. 3 pkt 4 </w:t>
      </w:r>
      <w:r w:rsidR="007712E2" w:rsidRPr="008A0F17">
        <w:t>(§ 1 pkt 1</w:t>
      </w:r>
      <w:r w:rsidR="0011194C" w:rsidRPr="008A0F17">
        <w:t>1</w:t>
      </w:r>
      <w:r w:rsidR="007712E2" w:rsidRPr="008A0F17">
        <w:t xml:space="preserve"> lit. b rozporządzenia zmieniającego) </w:t>
      </w:r>
      <w:r w:rsidRPr="008A0F17">
        <w:t>dotyczący odblaskowego oznacznika dla drogi kołowania bez nawierzchni sztucznej użytkowanej w nocy. N</w:t>
      </w:r>
      <w:r w:rsidRPr="008A0F17">
        <w:rPr>
          <w:color w:val="auto"/>
        </w:rPr>
        <w:t>iektóre lotniska mają podwyższony poziom bezpieczeństwa operacji lotniczych wykonywanych w porze nocnej przez zastosowanie nieobowiązkowych świateł dróg kołowania</w:t>
      </w:r>
      <w:r w:rsidR="005A3A48" w:rsidRPr="008A0F17">
        <w:rPr>
          <w:color w:val="auto"/>
        </w:rPr>
        <w:t>. W</w:t>
      </w:r>
      <w:r w:rsidRPr="008A0F17">
        <w:rPr>
          <w:color w:val="auto"/>
        </w:rPr>
        <w:t xml:space="preserve"> tym przypadku zastosowanie oznaczników odblaskowych dla dróg kołowania </w:t>
      </w:r>
      <w:r w:rsidR="0011194C" w:rsidRPr="008A0F17">
        <w:rPr>
          <w:color w:val="auto"/>
        </w:rPr>
        <w:t>jest niecelowe</w:t>
      </w:r>
      <w:r w:rsidRPr="008A0F17">
        <w:rPr>
          <w:color w:val="auto"/>
        </w:rPr>
        <w:t>.</w:t>
      </w:r>
    </w:p>
    <w:p w14:paraId="1A1A8652" w14:textId="70001EC5" w:rsidR="0014635F" w:rsidRPr="008A0F17" w:rsidRDefault="0014635F" w:rsidP="0014635F">
      <w:pPr>
        <w:spacing w:line="288" w:lineRule="auto"/>
        <w:rPr>
          <w:color w:val="auto"/>
        </w:rPr>
      </w:pPr>
      <w:r w:rsidRPr="008A0F17">
        <w:rPr>
          <w:color w:val="auto"/>
        </w:rPr>
        <w:t xml:space="preserve">W § 24 </w:t>
      </w:r>
      <w:r w:rsidR="007712E2" w:rsidRPr="008A0F17">
        <w:t>d</w:t>
      </w:r>
      <w:r w:rsidRPr="008A0F17">
        <w:rPr>
          <w:color w:val="auto"/>
        </w:rPr>
        <w:t>odano ust. 7</w:t>
      </w:r>
      <w:r w:rsidR="007712E2" w:rsidRPr="008A0F17">
        <w:rPr>
          <w:color w:val="auto"/>
        </w:rPr>
        <w:t xml:space="preserve"> (§ 1 pkt 1</w:t>
      </w:r>
      <w:r w:rsidR="0011194C" w:rsidRPr="008A0F17">
        <w:rPr>
          <w:color w:val="auto"/>
        </w:rPr>
        <w:t>1</w:t>
      </w:r>
      <w:r w:rsidR="007712E2" w:rsidRPr="008A0F17">
        <w:rPr>
          <w:color w:val="auto"/>
        </w:rPr>
        <w:t xml:space="preserve"> lit. c rozporządzenia zmieniającego)</w:t>
      </w:r>
      <w:r w:rsidRPr="008A0F17">
        <w:rPr>
          <w:color w:val="auto"/>
        </w:rPr>
        <w:t xml:space="preserve"> dotyczący sposobu określania szerokości dróg kołowania bez nawierzchni sztucznej na lotniskach dla samolotów z drogą startową bez nawierzchni sztucznej. Zmiana ta uzupełnia lukę w przepisach.</w:t>
      </w:r>
    </w:p>
    <w:p w14:paraId="2E19E07B" w14:textId="303AFD54" w:rsidR="00C139C2" w:rsidRPr="008A0F17" w:rsidRDefault="00C139C2" w:rsidP="00E542DF">
      <w:pPr>
        <w:spacing w:line="288" w:lineRule="auto"/>
        <w:rPr>
          <w:rFonts w:cs="Times New Roman"/>
          <w:bCs/>
          <w:szCs w:val="24"/>
        </w:rPr>
      </w:pPr>
      <w:r w:rsidRPr="008A0F17">
        <w:rPr>
          <w:rFonts w:cs="Times New Roman"/>
          <w:color w:val="auto"/>
          <w:szCs w:val="24"/>
        </w:rPr>
        <w:t>W</w:t>
      </w:r>
      <w:r w:rsidRPr="008A0F17">
        <w:rPr>
          <w:rFonts w:cs="Times New Roman"/>
          <w:bCs/>
          <w:color w:val="auto"/>
          <w:szCs w:val="24"/>
        </w:rPr>
        <w:t xml:space="preserve"> § </w:t>
      </w:r>
      <w:r w:rsidRPr="008A0F17">
        <w:rPr>
          <w:rFonts w:cs="Times New Roman"/>
          <w:bCs/>
          <w:szCs w:val="24"/>
        </w:rPr>
        <w:t>25</w:t>
      </w:r>
      <w:r w:rsidRPr="008A0F17">
        <w:rPr>
          <w:rFonts w:cs="Times New Roman"/>
          <w:bCs/>
          <w:color w:val="auto"/>
          <w:szCs w:val="24"/>
        </w:rPr>
        <w:t xml:space="preserve"> </w:t>
      </w:r>
      <w:r w:rsidRPr="008A0F17">
        <w:rPr>
          <w:rFonts w:cs="Times New Roman"/>
          <w:color w:val="auto"/>
          <w:szCs w:val="24"/>
        </w:rPr>
        <w:t>ust. 5</w:t>
      </w:r>
      <w:r w:rsidRPr="008A0F17">
        <w:rPr>
          <w:rFonts w:cs="Times New Roman"/>
          <w:bCs/>
          <w:color w:val="auto"/>
          <w:szCs w:val="24"/>
        </w:rPr>
        <w:t xml:space="preserve"> </w:t>
      </w:r>
      <w:r w:rsidR="007712E2" w:rsidRPr="008A0F17">
        <w:rPr>
          <w:rFonts w:cs="Times New Roman"/>
          <w:bCs/>
          <w:color w:val="auto"/>
          <w:szCs w:val="24"/>
        </w:rPr>
        <w:t>(§ 1 pkt 1</w:t>
      </w:r>
      <w:r w:rsidR="0011194C" w:rsidRPr="008A0F17">
        <w:rPr>
          <w:rFonts w:cs="Times New Roman"/>
          <w:bCs/>
          <w:color w:val="auto"/>
          <w:szCs w:val="24"/>
        </w:rPr>
        <w:t>2</w:t>
      </w:r>
      <w:r w:rsidR="007712E2" w:rsidRPr="008A0F17">
        <w:rPr>
          <w:rFonts w:cs="Times New Roman"/>
          <w:bCs/>
          <w:color w:val="auto"/>
          <w:szCs w:val="24"/>
        </w:rPr>
        <w:t xml:space="preserve"> rozporządzenia zmieniającego) </w:t>
      </w:r>
      <w:r w:rsidRPr="008A0F17">
        <w:rPr>
          <w:rFonts w:cs="Times New Roman"/>
          <w:color w:val="auto"/>
          <w:szCs w:val="24"/>
        </w:rPr>
        <w:t>zmieniono wymagania dotyczące o</w:t>
      </w:r>
      <w:r w:rsidRPr="008A0F17">
        <w:rPr>
          <w:rFonts w:cs="Times New Roman"/>
          <w:bCs/>
          <w:color w:val="auto"/>
          <w:szCs w:val="24"/>
        </w:rPr>
        <w:t>znaczników dla drogi startowej pokrytej śniegiem, w tym pkt 4 dotyczący kolorów oznaczników. W</w:t>
      </w:r>
      <w:r w:rsidRPr="008A0F17">
        <w:rPr>
          <w:rFonts w:cs="Times New Roman"/>
          <w:color w:val="auto"/>
          <w:szCs w:val="24"/>
        </w:rPr>
        <w:t xml:space="preserve">prowadzenie nowych kolorów oznaczników zapewni ich widoczność w warunkach zimowych, które będą odpowiednio kontrastowały z tłem. Te same oznaczniki będą mogły być stosowane w warunkach zimowych i letnich. Zmiana wynika z potrzeby doprecyzowania obecnie obowiązujących przepisów. </w:t>
      </w:r>
      <w:r w:rsidR="00177774" w:rsidRPr="008A0F17">
        <w:rPr>
          <w:rFonts w:cs="Times New Roman"/>
          <w:color w:val="auto"/>
          <w:szCs w:val="24"/>
        </w:rPr>
        <w:t>Dotychczasowy p</w:t>
      </w:r>
      <w:r w:rsidRPr="008A0F17">
        <w:rPr>
          <w:rFonts w:cs="Times New Roman"/>
          <w:color w:val="auto"/>
          <w:szCs w:val="24"/>
        </w:rPr>
        <w:t>kt</w:t>
      </w:r>
      <w:r w:rsidRPr="008A0F17">
        <w:rPr>
          <w:rFonts w:cs="Times New Roman"/>
          <w:szCs w:val="24"/>
        </w:rPr>
        <w:t> </w:t>
      </w:r>
      <w:r w:rsidRPr="008A0F17">
        <w:rPr>
          <w:rFonts w:cs="Times New Roman"/>
          <w:color w:val="auto"/>
          <w:szCs w:val="24"/>
        </w:rPr>
        <w:t xml:space="preserve">7 został </w:t>
      </w:r>
      <w:r w:rsidR="0011194C" w:rsidRPr="008A0F17">
        <w:rPr>
          <w:rFonts w:cs="Times New Roman"/>
          <w:color w:val="auto"/>
          <w:szCs w:val="24"/>
        </w:rPr>
        <w:t>uchylony</w:t>
      </w:r>
      <w:r w:rsidRPr="008A0F17">
        <w:rPr>
          <w:rFonts w:cs="Times New Roman"/>
          <w:color w:val="auto"/>
          <w:szCs w:val="24"/>
        </w:rPr>
        <w:t xml:space="preserve">, </w:t>
      </w:r>
      <w:r w:rsidR="0011194C" w:rsidRPr="008A0F17">
        <w:rPr>
          <w:rFonts w:cs="Times New Roman"/>
          <w:color w:val="auto"/>
          <w:szCs w:val="24"/>
        </w:rPr>
        <w:t xml:space="preserve">ponieważ w </w:t>
      </w:r>
      <w:r w:rsidRPr="008A0F17">
        <w:rPr>
          <w:rFonts w:cs="Times New Roman"/>
          <w:color w:val="auto"/>
          <w:szCs w:val="24"/>
        </w:rPr>
        <w:t xml:space="preserve">przypadku, gdy lotnisko jest użytkowane w nocy, stosowane jest oświetlenie </w:t>
      </w:r>
      <w:r w:rsidRPr="008A0F17">
        <w:rPr>
          <w:rFonts w:eastAsia="Calibri" w:cs="Times New Roman"/>
          <w:color w:val="auto"/>
          <w:szCs w:val="24"/>
          <w:lang w:eastAsia="pl-PL"/>
        </w:rPr>
        <w:t>drogi</w:t>
      </w:r>
      <w:r w:rsidRPr="008A0F17">
        <w:rPr>
          <w:rFonts w:cs="Times New Roman"/>
          <w:color w:val="auto"/>
          <w:szCs w:val="24"/>
        </w:rPr>
        <w:t xml:space="preserve"> startowej. Nie ma zatem konieczności stosowania oznaczników odblaskowych. </w:t>
      </w:r>
      <w:r w:rsidRPr="008A0F17">
        <w:rPr>
          <w:rFonts w:cs="Times New Roman"/>
          <w:szCs w:val="24"/>
        </w:rPr>
        <w:t>W</w:t>
      </w:r>
      <w:r w:rsidRPr="008A0F17">
        <w:rPr>
          <w:rFonts w:cs="Times New Roman"/>
          <w:bCs/>
          <w:szCs w:val="24"/>
        </w:rPr>
        <w:t xml:space="preserve"> § 25 p</w:t>
      </w:r>
      <w:r w:rsidRPr="008A0F17">
        <w:rPr>
          <w:rFonts w:cs="Times New Roman"/>
          <w:szCs w:val="24"/>
        </w:rPr>
        <w:t xml:space="preserve">oprawiono przepis ust. 7 w związku ze </w:t>
      </w:r>
      <w:r w:rsidRPr="008A0F17">
        <w:rPr>
          <w:rFonts w:cs="Times New Roman"/>
          <w:bCs/>
          <w:szCs w:val="24"/>
        </w:rPr>
        <w:t xml:space="preserve">zmianami w </w:t>
      </w:r>
      <w:r w:rsidRPr="008A0F17">
        <w:rPr>
          <w:rFonts w:cs="Times New Roman"/>
          <w:szCs w:val="24"/>
        </w:rPr>
        <w:t>§ 12 i</w:t>
      </w:r>
      <w:r w:rsidRPr="008A0F17">
        <w:rPr>
          <w:rFonts w:cs="Times New Roman"/>
          <w:bCs/>
          <w:szCs w:val="24"/>
        </w:rPr>
        <w:t xml:space="preserve"> § 23.</w:t>
      </w:r>
    </w:p>
    <w:p w14:paraId="12018E81" w14:textId="62154679" w:rsidR="00A831E3" w:rsidRPr="008A0F17" w:rsidRDefault="00EE3F62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W §</w:t>
      </w:r>
      <w:r w:rsidR="00992301" w:rsidRPr="008A0F17">
        <w:rPr>
          <w:rFonts w:ascii="Times New Roman" w:hAnsi="Times New Roman" w:cs="Times New Roman"/>
          <w:szCs w:val="24"/>
        </w:rPr>
        <w:t xml:space="preserve"> </w:t>
      </w:r>
      <w:r w:rsidRPr="008A0F17">
        <w:rPr>
          <w:rFonts w:ascii="Times New Roman" w:hAnsi="Times New Roman" w:cs="Times New Roman"/>
          <w:szCs w:val="24"/>
        </w:rPr>
        <w:t>27</w:t>
      </w:r>
      <w:r w:rsidR="00A831E3" w:rsidRPr="008A0F17">
        <w:rPr>
          <w:rFonts w:ascii="Times New Roman" w:hAnsi="Times New Roman" w:cs="Times New Roman"/>
          <w:szCs w:val="24"/>
        </w:rPr>
        <w:t xml:space="preserve"> </w:t>
      </w:r>
      <w:bookmarkStart w:id="16" w:name="mip53124027"/>
      <w:bookmarkEnd w:id="16"/>
      <w:r w:rsidR="00A831E3" w:rsidRPr="008A0F17">
        <w:rPr>
          <w:rFonts w:ascii="Times New Roman" w:hAnsi="Times New Roman" w:cs="Times New Roman"/>
          <w:szCs w:val="24"/>
        </w:rPr>
        <w:t xml:space="preserve">poprawiono </w:t>
      </w:r>
      <w:r w:rsidR="008A6360" w:rsidRPr="008A0F17">
        <w:rPr>
          <w:rFonts w:ascii="Times New Roman" w:hAnsi="Times New Roman" w:cs="Times New Roman"/>
          <w:szCs w:val="24"/>
        </w:rPr>
        <w:t>przepisy w ust. 1, 2 i 3</w:t>
      </w:r>
      <w:r w:rsidR="008C51F3" w:rsidRPr="008A0F17">
        <w:rPr>
          <w:rFonts w:ascii="Times New Roman" w:hAnsi="Times New Roman" w:cs="Times New Roman"/>
          <w:szCs w:val="24"/>
        </w:rPr>
        <w:t xml:space="preserve"> </w:t>
      </w:r>
      <w:r w:rsidR="007712E2" w:rsidRPr="008A0F17">
        <w:rPr>
          <w:rFonts w:ascii="Times New Roman" w:hAnsi="Times New Roman" w:cs="Times New Roman"/>
          <w:szCs w:val="24"/>
        </w:rPr>
        <w:t>(§ 1 pk</w:t>
      </w:r>
      <w:r w:rsidR="008C51F3" w:rsidRPr="008A0F17">
        <w:rPr>
          <w:rFonts w:ascii="Times New Roman" w:hAnsi="Times New Roman" w:cs="Times New Roman"/>
          <w:szCs w:val="24"/>
        </w:rPr>
        <w:t>t 1</w:t>
      </w:r>
      <w:r w:rsidR="0011194C" w:rsidRPr="008A0F17">
        <w:rPr>
          <w:rFonts w:ascii="Times New Roman" w:hAnsi="Times New Roman" w:cs="Times New Roman"/>
          <w:szCs w:val="24"/>
        </w:rPr>
        <w:t>3</w:t>
      </w:r>
      <w:r w:rsidR="008C51F3" w:rsidRPr="008A0F17">
        <w:rPr>
          <w:rFonts w:ascii="Times New Roman" w:hAnsi="Times New Roman" w:cs="Times New Roman"/>
          <w:szCs w:val="24"/>
        </w:rPr>
        <w:t xml:space="preserve"> rozporządzenia zmieniającego)</w:t>
      </w:r>
      <w:r w:rsidR="008A6360" w:rsidRPr="008A0F17">
        <w:rPr>
          <w:rFonts w:ascii="Times New Roman" w:hAnsi="Times New Roman" w:cs="Times New Roman"/>
          <w:szCs w:val="24"/>
        </w:rPr>
        <w:t xml:space="preserve"> </w:t>
      </w:r>
      <w:r w:rsidR="00A831E3" w:rsidRPr="008A0F17">
        <w:rPr>
          <w:rFonts w:ascii="Times New Roman" w:hAnsi="Times New Roman" w:cs="Times New Roman"/>
          <w:szCs w:val="24"/>
        </w:rPr>
        <w:t xml:space="preserve">w związku ze zmianami w </w:t>
      </w:r>
      <w:r w:rsidR="008A6360" w:rsidRPr="008A0F17">
        <w:rPr>
          <w:rFonts w:ascii="Times New Roman" w:hAnsi="Times New Roman" w:cs="Times New Roman"/>
          <w:szCs w:val="24"/>
        </w:rPr>
        <w:t xml:space="preserve">§ 12 i </w:t>
      </w:r>
      <w:r w:rsidRPr="008A0F17">
        <w:rPr>
          <w:rFonts w:ascii="Times New Roman" w:hAnsi="Times New Roman" w:cs="Times New Roman"/>
          <w:szCs w:val="24"/>
        </w:rPr>
        <w:t>§ 23</w:t>
      </w:r>
      <w:r w:rsidR="00A831E3" w:rsidRPr="008A0F17">
        <w:rPr>
          <w:rFonts w:ascii="Times New Roman" w:hAnsi="Times New Roman" w:cs="Times New Roman"/>
          <w:szCs w:val="24"/>
        </w:rPr>
        <w:t>.</w:t>
      </w:r>
    </w:p>
    <w:p w14:paraId="60C4B3E1" w14:textId="653D6A52" w:rsidR="009D24B4" w:rsidRPr="008A0F17" w:rsidRDefault="004F79C1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§ 28 ust. 1</w:t>
      </w:r>
      <w:r w:rsidR="003F4E23" w:rsidRPr="008A0F17">
        <w:rPr>
          <w:rFonts w:ascii="Times New Roman" w:hAnsi="Times New Roman" w:cs="Times New Roman"/>
          <w:szCs w:val="24"/>
        </w:rPr>
        <w:t xml:space="preserve"> </w:t>
      </w:r>
      <w:r w:rsidR="008C51F3" w:rsidRPr="008A0F17">
        <w:rPr>
          <w:rFonts w:ascii="Times New Roman" w:hAnsi="Times New Roman" w:cs="Times New Roman"/>
          <w:szCs w:val="24"/>
        </w:rPr>
        <w:t>(§ 1 pkt 1</w:t>
      </w:r>
      <w:r w:rsidR="0011194C" w:rsidRPr="008A0F17">
        <w:rPr>
          <w:rFonts w:ascii="Times New Roman" w:hAnsi="Times New Roman" w:cs="Times New Roman"/>
          <w:szCs w:val="24"/>
        </w:rPr>
        <w:t>4</w:t>
      </w:r>
      <w:r w:rsidR="008C51F3" w:rsidRPr="008A0F17">
        <w:rPr>
          <w:rFonts w:ascii="Times New Roman" w:hAnsi="Times New Roman" w:cs="Times New Roman"/>
          <w:szCs w:val="24"/>
        </w:rPr>
        <w:t xml:space="preserve"> rozporządzenia zmieniającego) </w:t>
      </w:r>
      <w:r w:rsidR="009D24B4" w:rsidRPr="008A0F17">
        <w:rPr>
          <w:rFonts w:ascii="Times New Roman" w:hAnsi="Times New Roman" w:cs="Times New Roman"/>
          <w:szCs w:val="24"/>
        </w:rPr>
        <w:t xml:space="preserve">został uszczegółowiony w zakresie wymagań </w:t>
      </w:r>
      <w:r w:rsidR="00E542DF" w:rsidRPr="008A0F17">
        <w:t xml:space="preserve">dotyczących </w:t>
      </w:r>
      <w:r w:rsidR="009D24B4" w:rsidRPr="008A0F17">
        <w:rPr>
          <w:rFonts w:ascii="Times New Roman" w:hAnsi="Times New Roman" w:cs="Times New Roman"/>
          <w:szCs w:val="24"/>
        </w:rPr>
        <w:t>podświetlenia wskaźnika kierunku wiatru. Jest to niezbędne dla bezpieczeństwa operacji lotniczych wykonywanych w nocy.</w:t>
      </w:r>
    </w:p>
    <w:p w14:paraId="354A6C1E" w14:textId="72F9DF10" w:rsidR="008A6360" w:rsidRPr="008A0F17" w:rsidRDefault="008A6360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 xml:space="preserve">Dodaje się </w:t>
      </w:r>
      <w:r w:rsidRPr="008A0F17">
        <w:rPr>
          <w:rFonts w:ascii="Times New Roman" w:hAnsi="Times New Roman" w:cs="Times New Roman"/>
          <w:bCs/>
          <w:szCs w:val="24"/>
        </w:rPr>
        <w:t>§ 31a</w:t>
      </w:r>
      <w:r w:rsidR="008C51F3" w:rsidRPr="008A0F17">
        <w:rPr>
          <w:rFonts w:ascii="Times New Roman" w:hAnsi="Times New Roman" w:cs="Times New Roman"/>
          <w:bCs/>
          <w:szCs w:val="24"/>
        </w:rPr>
        <w:t xml:space="preserve"> (§ 1 pkt 1</w:t>
      </w:r>
      <w:r w:rsidR="0011194C" w:rsidRPr="008A0F17">
        <w:rPr>
          <w:rFonts w:ascii="Times New Roman" w:hAnsi="Times New Roman" w:cs="Times New Roman"/>
          <w:bCs/>
          <w:szCs w:val="24"/>
        </w:rPr>
        <w:t>5</w:t>
      </w:r>
      <w:r w:rsidR="008C51F3" w:rsidRPr="008A0F17">
        <w:rPr>
          <w:rFonts w:ascii="Times New Roman" w:hAnsi="Times New Roman" w:cs="Times New Roman"/>
          <w:bCs/>
          <w:szCs w:val="24"/>
        </w:rPr>
        <w:t xml:space="preserve"> rozporządzenia zmieniającego)</w:t>
      </w:r>
      <w:r w:rsidRPr="008A0F17">
        <w:rPr>
          <w:rFonts w:ascii="Times New Roman" w:hAnsi="Times New Roman" w:cs="Times New Roman"/>
          <w:bCs/>
          <w:szCs w:val="24"/>
        </w:rPr>
        <w:t xml:space="preserve">, który wskazuje wymagania dotyczące zgłaszania </w:t>
      </w:r>
      <w:r w:rsidRPr="008A0F17">
        <w:rPr>
          <w:rFonts w:ascii="Times New Roman" w:hAnsi="Times New Roman" w:cs="Times New Roman"/>
          <w:szCs w:val="24"/>
        </w:rPr>
        <w:t>danych lotniczych</w:t>
      </w:r>
      <w:r w:rsidRPr="008A0F17">
        <w:rPr>
          <w:rFonts w:ascii="Times New Roman" w:hAnsi="Times New Roman" w:cs="Times New Roman"/>
          <w:bCs/>
          <w:szCs w:val="24"/>
        </w:rPr>
        <w:t xml:space="preserve"> d</w:t>
      </w:r>
      <w:r w:rsidRPr="008A0F17">
        <w:rPr>
          <w:rFonts w:ascii="Times New Roman" w:hAnsi="Times New Roman" w:cs="Times New Roman"/>
          <w:szCs w:val="24"/>
        </w:rPr>
        <w:t>la lotnisk dla samolotów z drogą startową bez nawierzchni sztucznej.</w:t>
      </w:r>
    </w:p>
    <w:p w14:paraId="1081B460" w14:textId="76EF6A5C" w:rsidR="008A6360" w:rsidRPr="008A0F17" w:rsidRDefault="008A6360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>W</w:t>
      </w:r>
      <w:r w:rsidRPr="008A0F17">
        <w:rPr>
          <w:rFonts w:ascii="Times New Roman" w:hAnsi="Times New Roman" w:cs="Times New Roman"/>
          <w:bCs/>
          <w:szCs w:val="24"/>
        </w:rPr>
        <w:t xml:space="preserve"> § 32 pkt 3 i 4 </w:t>
      </w:r>
      <w:r w:rsidR="008C51F3" w:rsidRPr="008A0F17">
        <w:rPr>
          <w:rFonts w:ascii="Times New Roman" w:hAnsi="Times New Roman" w:cs="Times New Roman"/>
          <w:bCs/>
          <w:szCs w:val="24"/>
        </w:rPr>
        <w:t>(§ 1 pkt 1</w:t>
      </w:r>
      <w:r w:rsidR="0011194C" w:rsidRPr="008A0F17">
        <w:rPr>
          <w:rFonts w:ascii="Times New Roman" w:hAnsi="Times New Roman" w:cs="Times New Roman"/>
          <w:bCs/>
          <w:szCs w:val="24"/>
        </w:rPr>
        <w:t>6</w:t>
      </w:r>
      <w:r w:rsidR="008C51F3" w:rsidRPr="008A0F17">
        <w:rPr>
          <w:rFonts w:ascii="Times New Roman" w:hAnsi="Times New Roman" w:cs="Times New Roman"/>
          <w:bCs/>
          <w:szCs w:val="24"/>
        </w:rPr>
        <w:t xml:space="preserve"> rozporządzenia zmieniającego) </w:t>
      </w:r>
      <w:r w:rsidRPr="008A0F17">
        <w:rPr>
          <w:rFonts w:ascii="Times New Roman" w:hAnsi="Times New Roman" w:cs="Times New Roman"/>
          <w:bCs/>
          <w:szCs w:val="24"/>
        </w:rPr>
        <w:t>dokonano korekty ze względu ze względu na zmianę numeracji przepisów w</w:t>
      </w:r>
      <w:r w:rsidR="004802A7" w:rsidRPr="008A0F17">
        <w:rPr>
          <w:rFonts w:ascii="Times New Roman" w:hAnsi="Times New Roman" w:cs="Times New Roman"/>
          <w:bCs/>
          <w:szCs w:val="24"/>
        </w:rPr>
        <w:t> </w:t>
      </w:r>
      <w:r w:rsidRPr="008A0F17">
        <w:rPr>
          <w:rFonts w:ascii="Times New Roman" w:hAnsi="Times New Roman" w:cs="Times New Roman"/>
          <w:bCs/>
          <w:szCs w:val="24"/>
        </w:rPr>
        <w:t xml:space="preserve"> Załączniku 14 tom II. Ponadto uchyla się pkt </w:t>
      </w:r>
      <w:r w:rsidR="00B803D7" w:rsidRPr="008A0F17">
        <w:rPr>
          <w:rFonts w:ascii="Times New Roman" w:hAnsi="Times New Roman" w:cs="Times New Roman"/>
          <w:bCs/>
          <w:szCs w:val="24"/>
        </w:rPr>
        <w:t>6</w:t>
      </w:r>
      <w:r w:rsidRPr="008A0F17">
        <w:rPr>
          <w:rFonts w:ascii="Times New Roman" w:hAnsi="Times New Roman" w:cs="Times New Roman"/>
          <w:bCs/>
          <w:szCs w:val="24"/>
        </w:rPr>
        <w:t xml:space="preserve"> </w:t>
      </w:r>
      <w:r w:rsidRPr="008A0F17">
        <w:rPr>
          <w:rFonts w:ascii="Times New Roman" w:hAnsi="Times New Roman" w:cs="Times New Roman"/>
          <w:szCs w:val="24"/>
        </w:rPr>
        <w:t xml:space="preserve">ponieważ nie ma potrzeby wskazywania </w:t>
      </w:r>
      <w:r w:rsidR="00E542DF" w:rsidRPr="008A0F17">
        <w:t xml:space="preserve">określonego w tym przepisie </w:t>
      </w:r>
      <w:r w:rsidRPr="008A0F17">
        <w:rPr>
          <w:rFonts w:ascii="Times New Roman" w:hAnsi="Times New Roman" w:cs="Times New Roman"/>
          <w:szCs w:val="24"/>
        </w:rPr>
        <w:t>dodatku</w:t>
      </w:r>
      <w:r w:rsidR="00E542DF" w:rsidRPr="008A0F17">
        <w:rPr>
          <w:rFonts w:ascii="Times New Roman" w:hAnsi="Times New Roman" w:cs="Times New Roman"/>
          <w:szCs w:val="24"/>
        </w:rPr>
        <w:t>. O</w:t>
      </w:r>
      <w:r w:rsidRPr="008A0F17">
        <w:rPr>
          <w:rFonts w:ascii="Times New Roman" w:hAnsi="Times New Roman" w:cs="Times New Roman"/>
          <w:szCs w:val="24"/>
        </w:rPr>
        <w:t>bowiązek jego stosowania wynika z treści rozdziałów Załącznika 14 tom II.</w:t>
      </w:r>
    </w:p>
    <w:p w14:paraId="2EFBF8B9" w14:textId="32EAA2BC" w:rsidR="00177774" w:rsidRPr="008A0F17" w:rsidRDefault="00886043" w:rsidP="00FB18D8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A0F17">
        <w:rPr>
          <w:rFonts w:ascii="Times New Roman" w:hAnsi="Times New Roman" w:cs="Times New Roman"/>
          <w:szCs w:val="24"/>
        </w:rPr>
        <w:t xml:space="preserve">Przepisy </w:t>
      </w:r>
      <w:r w:rsidR="00177774" w:rsidRPr="008A0F17">
        <w:rPr>
          <w:rFonts w:ascii="Times New Roman" w:hAnsi="Times New Roman" w:cs="Times New Roman"/>
          <w:szCs w:val="24"/>
        </w:rPr>
        <w:t>§</w:t>
      </w:r>
      <w:r w:rsidR="00E17A9F" w:rsidRPr="008A0F17">
        <w:rPr>
          <w:rFonts w:ascii="Times New Roman" w:hAnsi="Times New Roman" w:cs="Times New Roman"/>
          <w:szCs w:val="24"/>
        </w:rPr>
        <w:t xml:space="preserve"> </w:t>
      </w:r>
      <w:r w:rsidR="00177774" w:rsidRPr="008A0F17">
        <w:rPr>
          <w:rFonts w:ascii="Times New Roman" w:hAnsi="Times New Roman" w:cs="Times New Roman"/>
          <w:szCs w:val="24"/>
        </w:rPr>
        <w:t>33</w:t>
      </w:r>
      <w:r w:rsidR="008A0F17" w:rsidRPr="008A0F17">
        <w:rPr>
          <w:rFonts w:ascii="Times New Roman" w:hAnsi="Times New Roman" w:cs="Times New Roman"/>
          <w:szCs w:val="24"/>
        </w:rPr>
        <w:t>–</w:t>
      </w:r>
      <w:r w:rsidR="00177774" w:rsidRPr="008A0F17">
        <w:rPr>
          <w:rFonts w:ascii="Times New Roman" w:hAnsi="Times New Roman" w:cs="Times New Roman"/>
          <w:szCs w:val="24"/>
        </w:rPr>
        <w:t>36 zostały uchylone (</w:t>
      </w:r>
      <w:r w:rsidR="00E17A9F" w:rsidRPr="008A0F17">
        <w:rPr>
          <w:rFonts w:ascii="Times New Roman" w:hAnsi="Times New Roman" w:cs="Times New Roman"/>
          <w:szCs w:val="24"/>
        </w:rPr>
        <w:t>§</w:t>
      </w:r>
      <w:r w:rsidR="00547FC1" w:rsidRPr="008A0F17">
        <w:rPr>
          <w:rFonts w:ascii="Times New Roman" w:hAnsi="Times New Roman" w:cs="Times New Roman"/>
          <w:szCs w:val="24"/>
        </w:rPr>
        <w:t xml:space="preserve"> </w:t>
      </w:r>
      <w:r w:rsidR="00E17A9F" w:rsidRPr="008A0F17">
        <w:rPr>
          <w:rFonts w:ascii="Times New Roman" w:hAnsi="Times New Roman" w:cs="Times New Roman"/>
          <w:szCs w:val="24"/>
        </w:rPr>
        <w:t xml:space="preserve">1 pkt 17 rozporządzenia zmieniającego) – przedmiotowe wymagania uwzględnione są już w przepisach Załącznika 14 tom II, które uwzględniono w </w:t>
      </w:r>
      <w:r w:rsidRPr="008A0F17">
        <w:rPr>
          <w:rFonts w:ascii="Times New Roman" w:hAnsi="Times New Roman" w:cs="Times New Roman"/>
          <w:szCs w:val="24"/>
        </w:rPr>
        <w:br/>
      </w:r>
      <w:r w:rsidR="00E17A9F" w:rsidRPr="008A0F17">
        <w:rPr>
          <w:rFonts w:ascii="Times New Roman" w:hAnsi="Times New Roman" w:cs="Times New Roman"/>
          <w:szCs w:val="24"/>
        </w:rPr>
        <w:t>§ 32 rozporządzenia. Analogiczną przyczyną było uchylenie załącznika nr 4 do rozporządzenia (§ 1 pkt 19 rozporządzenia zmieniającego).</w:t>
      </w:r>
    </w:p>
    <w:p w14:paraId="3FEDE9F0" w14:textId="57D10441" w:rsidR="00B803D7" w:rsidRPr="008A0F17" w:rsidRDefault="00B803D7" w:rsidP="00FB18D8">
      <w:pPr>
        <w:spacing w:before="240"/>
        <w:rPr>
          <w:rFonts w:cs="Times New Roman"/>
          <w:color w:val="auto"/>
          <w:szCs w:val="24"/>
        </w:rPr>
      </w:pPr>
      <w:r w:rsidRPr="008A0F17">
        <w:rPr>
          <w:rFonts w:cs="Times New Roman"/>
          <w:color w:val="auto"/>
          <w:szCs w:val="24"/>
        </w:rPr>
        <w:t xml:space="preserve">W związku ze zmianą przepisów w § 12 i § 23 </w:t>
      </w:r>
      <w:r w:rsidRPr="008A0F17">
        <w:rPr>
          <w:rFonts w:cs="Times New Roman"/>
          <w:color w:val="auto"/>
          <w:szCs w:val="24"/>
          <w:lang w:eastAsia="en-GB"/>
        </w:rPr>
        <w:t>z</w:t>
      </w:r>
      <w:r w:rsidRPr="008A0F17">
        <w:rPr>
          <w:rFonts w:cs="Times New Roman"/>
          <w:color w:val="auto"/>
          <w:szCs w:val="24"/>
        </w:rPr>
        <w:t xml:space="preserve">ałącznik nr 2 do rozporządzenia </w:t>
      </w:r>
      <w:r w:rsidR="00547FC1" w:rsidRPr="008A0F17">
        <w:rPr>
          <w:rFonts w:cs="Times New Roman"/>
          <w:color w:val="auto"/>
          <w:szCs w:val="24"/>
        </w:rPr>
        <w:t xml:space="preserve">otrzymał </w:t>
      </w:r>
      <w:r w:rsidRPr="008A0F17">
        <w:rPr>
          <w:rFonts w:cs="Times New Roman"/>
          <w:color w:val="auto"/>
          <w:szCs w:val="24"/>
        </w:rPr>
        <w:t>nowy tytuł „Kształt i wymiary oznaczników krawędzi drogi startowej</w:t>
      </w:r>
      <w:r w:rsidRPr="008A0F17">
        <w:rPr>
          <w:rFonts w:cs="Times New Roman"/>
          <w:color w:val="auto"/>
          <w:szCs w:val="24"/>
          <w:lang w:eastAsia="pl-PL"/>
        </w:rPr>
        <w:t xml:space="preserve"> </w:t>
      </w:r>
      <w:r w:rsidRPr="008A0F17">
        <w:rPr>
          <w:rFonts w:cs="Times New Roman"/>
          <w:color w:val="auto"/>
          <w:szCs w:val="24"/>
        </w:rPr>
        <w:t>i oznaczników płaskich” i</w:t>
      </w:r>
      <w:r w:rsidR="004802A7" w:rsidRPr="008A0F17">
        <w:rPr>
          <w:rFonts w:cs="Times New Roman"/>
          <w:color w:val="auto"/>
          <w:szCs w:val="24"/>
        </w:rPr>
        <w:t> </w:t>
      </w:r>
      <w:r w:rsidRPr="008A0F17">
        <w:rPr>
          <w:rFonts w:cs="Times New Roman"/>
          <w:color w:val="auto"/>
          <w:szCs w:val="24"/>
        </w:rPr>
        <w:t xml:space="preserve"> został odpowiednio poprawiony</w:t>
      </w:r>
      <w:r w:rsidR="008C51F3" w:rsidRPr="008A0F17">
        <w:rPr>
          <w:rFonts w:cs="Times New Roman"/>
          <w:color w:val="auto"/>
          <w:szCs w:val="24"/>
        </w:rPr>
        <w:t xml:space="preserve"> (§ 1 </w:t>
      </w:r>
      <w:r w:rsidR="00FB7D43" w:rsidRPr="008A0F17">
        <w:rPr>
          <w:rFonts w:cs="Times New Roman"/>
          <w:color w:val="auto"/>
          <w:szCs w:val="24"/>
        </w:rPr>
        <w:t>pkt 1</w:t>
      </w:r>
      <w:r w:rsidR="0011194C" w:rsidRPr="008A0F17">
        <w:rPr>
          <w:rFonts w:cs="Times New Roman"/>
          <w:color w:val="auto"/>
          <w:szCs w:val="24"/>
        </w:rPr>
        <w:t>8</w:t>
      </w:r>
      <w:r w:rsidR="00FB7D43" w:rsidRPr="008A0F17">
        <w:rPr>
          <w:rFonts w:cs="Times New Roman"/>
          <w:color w:val="auto"/>
          <w:szCs w:val="24"/>
        </w:rPr>
        <w:t xml:space="preserve"> rozporządzenia zmieniającego)</w:t>
      </w:r>
      <w:r w:rsidRPr="008A0F17">
        <w:rPr>
          <w:rFonts w:cs="Times New Roman"/>
          <w:color w:val="auto"/>
          <w:szCs w:val="24"/>
        </w:rPr>
        <w:t>.</w:t>
      </w:r>
    </w:p>
    <w:p w14:paraId="3DAC0B1C" w14:textId="65B5E92D" w:rsidR="001B0BC9" w:rsidRPr="008A0F17" w:rsidRDefault="001B0BC9" w:rsidP="001B0BC9">
      <w:pPr>
        <w:spacing w:before="240"/>
        <w:rPr>
          <w:rFonts w:cs="Times New Roman"/>
          <w:szCs w:val="24"/>
        </w:rPr>
      </w:pPr>
      <w:r w:rsidRPr="008A0F17">
        <w:rPr>
          <w:rFonts w:cs="Times New Roman"/>
          <w:szCs w:val="24"/>
        </w:rPr>
        <w:t xml:space="preserve">Do spraw wszczętych i niezakończonych przed dniem wejścia w życie niniejszego rozporządzenia </w:t>
      </w:r>
      <w:r w:rsidR="00B11C91" w:rsidRPr="008A0F17">
        <w:rPr>
          <w:rFonts w:cs="Times New Roman"/>
          <w:szCs w:val="24"/>
        </w:rPr>
        <w:t>takich jak:</w:t>
      </w:r>
      <w:r w:rsidRPr="008A0F17">
        <w:rPr>
          <w:rFonts w:cs="Times New Roman"/>
          <w:szCs w:val="24"/>
        </w:rPr>
        <w:t xml:space="preserve"> wpisani</w:t>
      </w:r>
      <w:r w:rsidR="00B11C91" w:rsidRPr="008A0F17">
        <w:rPr>
          <w:rFonts w:cs="Times New Roman"/>
          <w:szCs w:val="24"/>
        </w:rPr>
        <w:t xml:space="preserve">e lotniska do rejestru lotnisk, </w:t>
      </w:r>
      <w:r w:rsidRPr="008A0F17">
        <w:rPr>
          <w:rFonts w:cs="Times New Roman"/>
          <w:szCs w:val="24"/>
        </w:rPr>
        <w:t>wydani</w:t>
      </w:r>
      <w:r w:rsidR="00B11C91" w:rsidRPr="008A0F17">
        <w:rPr>
          <w:rFonts w:cs="Times New Roman"/>
          <w:szCs w:val="24"/>
        </w:rPr>
        <w:t>e</w:t>
      </w:r>
      <w:r w:rsidRPr="008A0F17">
        <w:rPr>
          <w:rFonts w:cs="Times New Roman"/>
          <w:szCs w:val="24"/>
        </w:rPr>
        <w:t xml:space="preserve"> zezwolenia, o który</w:t>
      </w:r>
      <w:r w:rsidR="00B11C91" w:rsidRPr="008A0F17">
        <w:rPr>
          <w:rFonts w:cs="Times New Roman"/>
          <w:szCs w:val="24"/>
        </w:rPr>
        <w:t xml:space="preserve">m mowa w art. 61 ust. 1 ustawy </w:t>
      </w:r>
      <w:r w:rsidR="00FA3200" w:rsidRPr="008A0F17">
        <w:rPr>
          <w:rFonts w:cs="Times New Roman"/>
          <w:szCs w:val="24"/>
        </w:rPr>
        <w:t xml:space="preserve">– </w:t>
      </w:r>
      <w:r w:rsidRPr="008A0F17">
        <w:rPr>
          <w:rFonts w:cs="Times New Roman"/>
          <w:szCs w:val="24"/>
        </w:rPr>
        <w:t>Prawo lotnicze oraz do kontrol</w:t>
      </w:r>
      <w:r w:rsidR="0011194C" w:rsidRPr="008A0F17">
        <w:rPr>
          <w:rFonts w:cs="Times New Roman"/>
          <w:szCs w:val="24"/>
        </w:rPr>
        <w:t>i</w:t>
      </w:r>
      <w:r w:rsidR="00B11C91" w:rsidRPr="008A0F17">
        <w:rPr>
          <w:rFonts w:cs="Times New Roman"/>
          <w:szCs w:val="24"/>
        </w:rPr>
        <w:t xml:space="preserve"> </w:t>
      </w:r>
      <w:r w:rsidRPr="008A0F17">
        <w:rPr>
          <w:rFonts w:cs="Times New Roman"/>
          <w:szCs w:val="24"/>
        </w:rPr>
        <w:t>sprawdzając</w:t>
      </w:r>
      <w:r w:rsidR="0011194C" w:rsidRPr="008A0F17">
        <w:rPr>
          <w:rFonts w:cs="Times New Roman"/>
          <w:szCs w:val="24"/>
        </w:rPr>
        <w:t>ej</w:t>
      </w:r>
      <w:r w:rsidR="008637E7" w:rsidRPr="008A0F17">
        <w:t xml:space="preserve"> rozpoczętej i niezakończonej przed dniem wejścia w życie niniejszego rozporządzenia</w:t>
      </w:r>
      <w:r w:rsidR="00B11C91" w:rsidRPr="008A0F17">
        <w:rPr>
          <w:rFonts w:cs="Times New Roman"/>
          <w:szCs w:val="24"/>
        </w:rPr>
        <w:t xml:space="preserve">, </w:t>
      </w:r>
      <w:r w:rsidR="00FA3200" w:rsidRPr="008A0F17">
        <w:rPr>
          <w:rFonts w:cs="Times New Roman"/>
          <w:szCs w:val="24"/>
        </w:rPr>
        <w:t xml:space="preserve">przewidziano </w:t>
      </w:r>
      <w:r w:rsidRPr="008A0F17">
        <w:rPr>
          <w:rFonts w:cs="Times New Roman"/>
          <w:szCs w:val="24"/>
        </w:rPr>
        <w:t>stosowanie przepisów dotychczasowych.</w:t>
      </w:r>
    </w:p>
    <w:p w14:paraId="5662196C" w14:textId="5C949111" w:rsidR="00B803D7" w:rsidRPr="008A0F17" w:rsidRDefault="00B803D7" w:rsidP="00FB18D8">
      <w:pPr>
        <w:spacing w:before="240"/>
        <w:rPr>
          <w:rFonts w:cs="Times New Roman"/>
          <w:szCs w:val="24"/>
        </w:rPr>
      </w:pPr>
      <w:r w:rsidRPr="008A0F17">
        <w:rPr>
          <w:rFonts w:cs="Times New Roman"/>
          <w:color w:val="auto"/>
          <w:szCs w:val="24"/>
        </w:rPr>
        <w:t xml:space="preserve">W przepisach przejściowych przewidziano dłuższe terminy na wdrożenie niektórych nowych wymagań, ze względu na ich złożoność i konieczność </w:t>
      </w:r>
      <w:r w:rsidRPr="008A0F17">
        <w:rPr>
          <w:rFonts w:cs="Times New Roman"/>
          <w:szCs w:val="24"/>
        </w:rPr>
        <w:t xml:space="preserve">zapewnienia zarządzającym lotniskami wystarczającego czasu na ich wdrożenie, lub terminy wejścia w życie ustalone przez ICAO. </w:t>
      </w:r>
    </w:p>
    <w:p w14:paraId="3D151B95" w14:textId="77777777" w:rsidR="00FB18D8" w:rsidRPr="008A0F17" w:rsidRDefault="00FB18D8" w:rsidP="00FB18D8">
      <w:pPr>
        <w:tabs>
          <w:tab w:val="left" w:pos="567"/>
        </w:tabs>
        <w:spacing w:before="240"/>
        <w:ind w:left="567" w:hanging="567"/>
        <w:rPr>
          <w:rFonts w:cs="Times New Roman"/>
          <w:color w:val="auto"/>
          <w:szCs w:val="24"/>
        </w:rPr>
      </w:pPr>
      <w:r w:rsidRPr="008A0F17">
        <w:rPr>
          <w:rFonts w:cs="Times New Roman"/>
          <w:color w:val="auto"/>
          <w:szCs w:val="24"/>
        </w:rPr>
        <w:t xml:space="preserve">1) </w:t>
      </w:r>
      <w:r w:rsidRPr="008A0F17">
        <w:rPr>
          <w:rFonts w:cs="Times New Roman"/>
          <w:color w:val="auto"/>
          <w:szCs w:val="24"/>
        </w:rPr>
        <w:tab/>
        <w:t>Nowe wymagania dotyczące:</w:t>
      </w:r>
    </w:p>
    <w:p w14:paraId="6DCFEB95" w14:textId="76538A8F" w:rsidR="00FB18D8" w:rsidRPr="008A0F17" w:rsidRDefault="00FB18D8" w:rsidP="00FB18D8">
      <w:pPr>
        <w:widowControl w:val="0"/>
        <w:numPr>
          <w:ilvl w:val="0"/>
          <w:numId w:val="6"/>
        </w:numPr>
        <w:tabs>
          <w:tab w:val="left" w:pos="1134"/>
        </w:tabs>
        <w:ind w:left="1134" w:hanging="567"/>
        <w:rPr>
          <w:rFonts w:eastAsia="Calibri" w:cs="Times New Roman"/>
          <w:bCs/>
          <w:color w:val="auto"/>
          <w:szCs w:val="24"/>
        </w:rPr>
      </w:pPr>
      <w:r w:rsidRPr="008A0F17">
        <w:rPr>
          <w:rFonts w:eastAsia="Calibri" w:cs="Times New Roman"/>
          <w:bCs/>
          <w:color w:val="auto"/>
          <w:szCs w:val="24"/>
        </w:rPr>
        <w:t>lotnisk dla śmigłowców znajdujących się na lotniskach dla samolotów (§ 3 ust. 2 pkt 2 i</w:t>
      </w:r>
      <w:r w:rsidR="004802A7" w:rsidRPr="008A0F17">
        <w:rPr>
          <w:rFonts w:eastAsia="Calibri" w:cs="Times New Roman"/>
          <w:bCs/>
          <w:color w:val="auto"/>
          <w:szCs w:val="24"/>
        </w:rPr>
        <w:t> </w:t>
      </w:r>
      <w:r w:rsidRPr="008A0F17">
        <w:rPr>
          <w:rFonts w:eastAsia="Calibri" w:cs="Times New Roman"/>
          <w:bCs/>
          <w:color w:val="auto"/>
          <w:szCs w:val="24"/>
        </w:rPr>
        <w:t>§ 13 ust. 4 rozporządzenia),</w:t>
      </w:r>
    </w:p>
    <w:p w14:paraId="5C8DA5C5" w14:textId="33297925" w:rsidR="00FB18D8" w:rsidRPr="008A0F17" w:rsidRDefault="00FB18D8" w:rsidP="00FB18D8">
      <w:pPr>
        <w:widowControl w:val="0"/>
        <w:numPr>
          <w:ilvl w:val="0"/>
          <w:numId w:val="6"/>
        </w:numPr>
        <w:tabs>
          <w:tab w:val="left" w:pos="1134"/>
        </w:tabs>
        <w:ind w:left="1134" w:hanging="567"/>
        <w:rPr>
          <w:rFonts w:eastAsia="Calibri" w:cs="Times New Roman"/>
          <w:bCs/>
          <w:color w:val="auto"/>
          <w:szCs w:val="24"/>
        </w:rPr>
      </w:pPr>
      <w:r w:rsidRPr="008A0F17">
        <w:rPr>
          <w:rFonts w:eastAsia="Calibri" w:cs="Times New Roman"/>
          <w:bCs/>
          <w:color w:val="auto"/>
          <w:szCs w:val="24"/>
        </w:rPr>
        <w:t>położenia i wymiarów drogi startowej oraz instalowania oznaczników drogi startowej (§ 12 i § 23 rozporządzenia)</w:t>
      </w:r>
      <w:r w:rsidR="00807EAB" w:rsidRPr="008A0F17">
        <w:rPr>
          <w:rFonts w:eastAsia="Calibri" w:cs="Times New Roman"/>
          <w:bCs/>
          <w:color w:val="auto"/>
          <w:szCs w:val="24"/>
        </w:rPr>
        <w:t>,</w:t>
      </w:r>
    </w:p>
    <w:p w14:paraId="411D4D1C" w14:textId="4538811C" w:rsidR="00FB18D8" w:rsidRPr="008A0F17" w:rsidRDefault="00FB18D8" w:rsidP="00FB18D8">
      <w:pPr>
        <w:widowControl w:val="0"/>
        <w:numPr>
          <w:ilvl w:val="0"/>
          <w:numId w:val="6"/>
        </w:numPr>
        <w:tabs>
          <w:tab w:val="left" w:pos="1134"/>
        </w:tabs>
        <w:ind w:left="1134" w:hanging="567"/>
        <w:rPr>
          <w:rFonts w:eastAsia="Calibri" w:cs="Times New Roman"/>
          <w:bCs/>
          <w:color w:val="auto"/>
          <w:szCs w:val="24"/>
        </w:rPr>
      </w:pPr>
      <w:r w:rsidRPr="008A0F17">
        <w:rPr>
          <w:rFonts w:eastAsia="Calibri" w:cs="Times New Roman"/>
          <w:bCs/>
          <w:color w:val="auto"/>
          <w:szCs w:val="24"/>
        </w:rPr>
        <w:t xml:space="preserve">podświetlenia wskaźnika kierunku </w:t>
      </w:r>
      <w:r w:rsidR="00BD36B8" w:rsidRPr="008A0F17">
        <w:rPr>
          <w:rFonts w:eastAsia="Calibri" w:cs="Times New Roman"/>
          <w:bCs/>
          <w:color w:val="auto"/>
          <w:szCs w:val="24"/>
        </w:rPr>
        <w:t xml:space="preserve">wiatru </w:t>
      </w:r>
      <w:r w:rsidRPr="008A0F17">
        <w:rPr>
          <w:rFonts w:eastAsia="Calibri" w:cs="Times New Roman"/>
          <w:bCs/>
          <w:color w:val="auto"/>
          <w:szCs w:val="24"/>
        </w:rPr>
        <w:t>(§ 6 ust. 1 i § 28 ust. 1 rozporządzenia</w:t>
      </w:r>
      <w:r w:rsidR="004D62EE">
        <w:rPr>
          <w:rFonts w:eastAsia="Calibri" w:cs="Times New Roman"/>
          <w:bCs/>
          <w:color w:val="auto"/>
          <w:szCs w:val="24"/>
        </w:rPr>
        <w:t>),</w:t>
      </w:r>
    </w:p>
    <w:p w14:paraId="1C23FD25" w14:textId="77777777" w:rsidR="00FB18D8" w:rsidRPr="008A0F17" w:rsidRDefault="00FB18D8" w:rsidP="00FB18D8">
      <w:pPr>
        <w:tabs>
          <w:tab w:val="left" w:pos="567"/>
        </w:tabs>
        <w:spacing w:before="120"/>
        <w:ind w:left="567"/>
        <w:rPr>
          <w:rFonts w:cs="Times New Roman"/>
          <w:color w:val="auto"/>
          <w:szCs w:val="24"/>
        </w:rPr>
      </w:pPr>
      <w:r w:rsidRPr="008A0F17">
        <w:rPr>
          <w:rFonts w:cs="Times New Roman"/>
          <w:color w:val="auto"/>
          <w:szCs w:val="24"/>
        </w:rPr>
        <w:t>powinny być wdrożone w ciągu 6 miesięcy od dnia ogłoszenia rozporządzenia.</w:t>
      </w:r>
    </w:p>
    <w:p w14:paraId="2BB34358" w14:textId="3D80E421" w:rsidR="00FB18D8" w:rsidRPr="008A0F17" w:rsidRDefault="00FB18D8" w:rsidP="00FB18D8">
      <w:pPr>
        <w:tabs>
          <w:tab w:val="left" w:pos="567"/>
        </w:tabs>
        <w:spacing w:before="240"/>
        <w:ind w:left="567" w:hanging="567"/>
        <w:rPr>
          <w:rFonts w:cs="Times New Roman"/>
          <w:color w:val="auto"/>
          <w:szCs w:val="24"/>
        </w:rPr>
      </w:pPr>
      <w:r w:rsidRPr="008A0F17">
        <w:rPr>
          <w:rFonts w:cs="Times New Roman"/>
          <w:color w:val="auto"/>
          <w:szCs w:val="24"/>
        </w:rPr>
        <w:t xml:space="preserve">2) </w:t>
      </w:r>
      <w:r w:rsidRPr="008A0F17">
        <w:rPr>
          <w:rFonts w:cs="Times New Roman"/>
          <w:color w:val="auto"/>
          <w:szCs w:val="24"/>
        </w:rPr>
        <w:tab/>
        <w:t>Wymagania wprowadzone zmianą nr 15 do Załącznika 14 w zakresie rozdziału 5 pkt: 5.3.20.1, 5.3.29.3, 5.3.29.9, 5.4.1.3 i 5.4.1.6 powinny być wdrożone w ciągu 12 miesięcy od dnia ogłoszenia rozporządzenia</w:t>
      </w:r>
      <w:r w:rsidR="00D006FB" w:rsidRPr="008A0F17">
        <w:rPr>
          <w:rFonts w:cs="Times New Roman"/>
          <w:color w:val="auto"/>
          <w:szCs w:val="24"/>
        </w:rPr>
        <w:t xml:space="preserve"> w celu </w:t>
      </w:r>
      <w:r w:rsidRPr="008A0F17">
        <w:rPr>
          <w:rFonts w:cs="Times New Roman"/>
          <w:color w:val="auto"/>
          <w:szCs w:val="24"/>
        </w:rPr>
        <w:t>umożliwi</w:t>
      </w:r>
      <w:r w:rsidR="00D006FB" w:rsidRPr="008A0F17">
        <w:rPr>
          <w:rFonts w:cs="Times New Roman"/>
          <w:color w:val="auto"/>
          <w:szCs w:val="24"/>
        </w:rPr>
        <w:t>enia</w:t>
      </w:r>
      <w:r w:rsidRPr="008A0F17">
        <w:rPr>
          <w:rFonts w:cs="Times New Roman"/>
          <w:color w:val="auto"/>
          <w:szCs w:val="24"/>
        </w:rPr>
        <w:t xml:space="preserve"> zarządzającym lotniskami ich skuteczne wdrożenie.</w:t>
      </w:r>
    </w:p>
    <w:p w14:paraId="172B44B6" w14:textId="389551F9" w:rsidR="00FB18D8" w:rsidRDefault="00FB18D8" w:rsidP="00FB18D8">
      <w:pPr>
        <w:tabs>
          <w:tab w:val="left" w:pos="567"/>
        </w:tabs>
        <w:spacing w:before="240"/>
        <w:ind w:left="567" w:hanging="567"/>
        <w:rPr>
          <w:rFonts w:cs="Times New Roman"/>
          <w:color w:val="auto"/>
          <w:szCs w:val="24"/>
        </w:rPr>
      </w:pPr>
      <w:r w:rsidRPr="008A0F17">
        <w:rPr>
          <w:rFonts w:cs="Times New Roman"/>
          <w:color w:val="auto"/>
          <w:szCs w:val="24"/>
        </w:rPr>
        <w:t xml:space="preserve">3) </w:t>
      </w:r>
      <w:r w:rsidRPr="008A0F17">
        <w:rPr>
          <w:rFonts w:cs="Times New Roman"/>
          <w:color w:val="auto"/>
          <w:szCs w:val="24"/>
        </w:rPr>
        <w:tab/>
        <w:t xml:space="preserve">Zgodnie z ustaleniami ICAO (Załącznik 14 tom I, podrozdział „Zmiany”) wymagania </w:t>
      </w:r>
      <w:r w:rsidRPr="00FB18D8">
        <w:rPr>
          <w:rFonts w:cs="Times New Roman"/>
          <w:color w:val="auto"/>
          <w:szCs w:val="24"/>
        </w:rPr>
        <w:t xml:space="preserve">wprowadzone zmianą nr 15, dotyczące nowego sposobu określania nośności nawierzchni sztucznej drogi startowej </w:t>
      </w:r>
      <w:r w:rsidRPr="00FB18D8">
        <w:rPr>
          <w:rFonts w:cs="Times New Roman"/>
          <w:bCs/>
          <w:i/>
          <w:color w:val="auto"/>
          <w:szCs w:val="24"/>
        </w:rPr>
        <w:t xml:space="preserve">ACR/PCR (Aircraft classification rating / Pavement classification rating), o których mowa </w:t>
      </w:r>
      <w:r w:rsidRPr="00FB18D8">
        <w:rPr>
          <w:rFonts w:cs="Times New Roman"/>
          <w:color w:val="auto"/>
          <w:szCs w:val="24"/>
        </w:rPr>
        <w:t xml:space="preserve">w </w:t>
      </w:r>
      <w:r w:rsidR="004D62EE">
        <w:rPr>
          <w:rFonts w:cs="Times New Roman"/>
          <w:color w:val="auto"/>
          <w:szCs w:val="24"/>
        </w:rPr>
        <w:t>r</w:t>
      </w:r>
      <w:r w:rsidRPr="00FB18D8">
        <w:rPr>
          <w:rFonts w:cs="Times New Roman"/>
          <w:color w:val="auto"/>
          <w:szCs w:val="24"/>
        </w:rPr>
        <w:t xml:space="preserve">ozdziale 2 pkt 2.6a Załącznika 14 tom I, mają być stosowane od dnia 28 listopada 2024 r. </w:t>
      </w:r>
      <w:r w:rsidR="00D006FB">
        <w:rPr>
          <w:rFonts w:cs="Times New Roman"/>
          <w:color w:val="auto"/>
          <w:szCs w:val="24"/>
        </w:rPr>
        <w:t>Z</w:t>
      </w:r>
      <w:r w:rsidRPr="00FB18D8">
        <w:rPr>
          <w:rFonts w:cs="Times New Roman"/>
          <w:color w:val="auto"/>
          <w:szCs w:val="24"/>
        </w:rPr>
        <w:t xml:space="preserve">astąpią </w:t>
      </w:r>
      <w:r w:rsidR="00D006FB">
        <w:rPr>
          <w:rFonts w:cs="Times New Roman"/>
          <w:color w:val="auto"/>
          <w:szCs w:val="24"/>
        </w:rPr>
        <w:t>wówczas</w:t>
      </w:r>
      <w:r w:rsidRPr="00FB18D8">
        <w:rPr>
          <w:rFonts w:cs="Times New Roman"/>
          <w:color w:val="auto"/>
          <w:szCs w:val="24"/>
        </w:rPr>
        <w:t xml:space="preserve"> metodę </w:t>
      </w:r>
      <w:r w:rsidRPr="00D006FB">
        <w:rPr>
          <w:rFonts w:cs="Times New Roman"/>
          <w:bCs/>
          <w:i/>
          <w:color w:val="auto"/>
          <w:szCs w:val="24"/>
        </w:rPr>
        <w:t xml:space="preserve">ACN/PCN </w:t>
      </w:r>
      <w:r w:rsidR="00D006FB" w:rsidRPr="00D006FB">
        <w:rPr>
          <w:rFonts w:cs="Times New Roman"/>
          <w:bCs/>
          <w:i/>
          <w:color w:val="auto"/>
          <w:szCs w:val="24"/>
        </w:rPr>
        <w:t>(</w:t>
      </w:r>
      <w:r w:rsidRPr="00FB18D8">
        <w:rPr>
          <w:rFonts w:cs="Times New Roman"/>
          <w:bCs/>
          <w:i/>
          <w:color w:val="auto"/>
          <w:szCs w:val="24"/>
        </w:rPr>
        <w:t>Aircraft classification number/Pavement classification number)</w:t>
      </w:r>
      <w:r w:rsidRPr="00FB18D8">
        <w:rPr>
          <w:rFonts w:cs="Times New Roman"/>
          <w:color w:val="auto"/>
          <w:szCs w:val="24"/>
        </w:rPr>
        <w:t xml:space="preserve"> określoną w </w:t>
      </w:r>
      <w:r w:rsidR="004D62EE">
        <w:rPr>
          <w:rFonts w:cs="Times New Roman"/>
          <w:color w:val="auto"/>
          <w:szCs w:val="24"/>
        </w:rPr>
        <w:t>r</w:t>
      </w:r>
      <w:r w:rsidRPr="00FB18D8">
        <w:rPr>
          <w:rFonts w:cs="Times New Roman"/>
          <w:color w:val="auto"/>
          <w:szCs w:val="24"/>
        </w:rPr>
        <w:t>ozdziale 2 pkt 2.6 Załącznika 14 tom I.</w:t>
      </w:r>
    </w:p>
    <w:p w14:paraId="2B2E14C0" w14:textId="530703A5" w:rsidR="00170F88" w:rsidRPr="00170F88" w:rsidRDefault="00170F88" w:rsidP="00170F88">
      <w:pPr>
        <w:spacing w:before="240"/>
        <w:ind w:hanging="567"/>
        <w:rPr>
          <w:rFonts w:cs="Times New Roman"/>
          <w:bCs/>
          <w:color w:val="auto"/>
          <w:szCs w:val="24"/>
        </w:rPr>
      </w:pPr>
      <w:r>
        <w:rPr>
          <w:rFonts w:cs="Times New Roman"/>
          <w:bCs/>
          <w:color w:val="auto"/>
          <w:szCs w:val="24"/>
        </w:rPr>
        <w:tab/>
      </w:r>
      <w:r>
        <w:rPr>
          <w:rFonts w:cs="Times New Roman"/>
          <w:bCs/>
          <w:color w:val="auto"/>
          <w:szCs w:val="24"/>
        </w:rPr>
        <w:tab/>
      </w:r>
      <w:r w:rsidRPr="00170F88">
        <w:rPr>
          <w:rFonts w:cs="Times New Roman"/>
          <w:bCs/>
          <w:color w:val="auto"/>
          <w:szCs w:val="24"/>
        </w:rPr>
        <w:t xml:space="preserve">W związku z tym, że wymagania dotyczące GRF powinny zostać wdrożone jak najszybciej </w:t>
      </w:r>
      <w:r w:rsidR="00D006FB">
        <w:rPr>
          <w:rFonts w:cs="Times New Roman"/>
          <w:bCs/>
          <w:color w:val="auto"/>
          <w:szCs w:val="24"/>
        </w:rPr>
        <w:t>zaproponowano wejście w życie</w:t>
      </w:r>
      <w:r w:rsidRPr="00170F88">
        <w:rPr>
          <w:rFonts w:cs="Times New Roman"/>
          <w:bCs/>
          <w:color w:val="auto"/>
          <w:szCs w:val="24"/>
        </w:rPr>
        <w:t xml:space="preserve"> projekt</w:t>
      </w:r>
      <w:r w:rsidR="00D006FB">
        <w:rPr>
          <w:rFonts w:cs="Times New Roman"/>
          <w:bCs/>
          <w:color w:val="auto"/>
          <w:szCs w:val="24"/>
        </w:rPr>
        <w:t>u</w:t>
      </w:r>
      <w:r w:rsidRPr="00170F88">
        <w:rPr>
          <w:rFonts w:cs="Times New Roman"/>
          <w:bCs/>
          <w:color w:val="auto"/>
          <w:szCs w:val="24"/>
        </w:rPr>
        <w:t xml:space="preserve"> po upływie 14 dni od dnia ogłoszenia.</w:t>
      </w:r>
    </w:p>
    <w:p w14:paraId="59561142" w14:textId="77777777" w:rsidR="0009689F" w:rsidRPr="004802A7" w:rsidRDefault="0009689F" w:rsidP="00FB18D8">
      <w:pPr>
        <w:pStyle w:val="Nagwek2"/>
        <w:tabs>
          <w:tab w:val="clear" w:pos="567"/>
          <w:tab w:val="left" w:pos="709"/>
        </w:tabs>
        <w:spacing w:before="360"/>
        <w:ind w:left="709" w:hanging="709"/>
        <w:jc w:val="both"/>
        <w:rPr>
          <w:rStyle w:val="Ppogrubienie"/>
          <w:szCs w:val="24"/>
        </w:rPr>
      </w:pPr>
      <w:r w:rsidRPr="004802A7">
        <w:rPr>
          <w:rStyle w:val="Ppogrubienie"/>
          <w:szCs w:val="24"/>
        </w:rPr>
        <w:t xml:space="preserve">V. </w:t>
      </w:r>
      <w:r w:rsidRPr="004802A7">
        <w:rPr>
          <w:rStyle w:val="Ppogrubienie"/>
          <w:szCs w:val="24"/>
        </w:rPr>
        <w:tab/>
        <w:t>Przewidywane skutki finansowe i prawne wejścia w życie rozporządzenia</w:t>
      </w:r>
    </w:p>
    <w:p w14:paraId="55E0F082" w14:textId="0A5883D1" w:rsidR="0009689F" w:rsidRPr="004802A7" w:rsidRDefault="0009689F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 xml:space="preserve">Wejście w życie rozporządzenia zmieniającego rozporządzenie wydane na podstawie art. 59a ust. </w:t>
      </w:r>
      <w:r w:rsidR="005E3AF2" w:rsidRPr="004802A7">
        <w:rPr>
          <w:rFonts w:ascii="Times New Roman" w:hAnsi="Times New Roman" w:cs="Times New Roman"/>
          <w:szCs w:val="24"/>
        </w:rPr>
        <w:t>7</w:t>
      </w:r>
      <w:r w:rsidRPr="004802A7">
        <w:rPr>
          <w:rFonts w:ascii="Times New Roman" w:hAnsi="Times New Roman" w:cs="Times New Roman"/>
          <w:szCs w:val="24"/>
        </w:rPr>
        <w:t xml:space="preserve"> ustawy − Prawo lotnicze nie powoduje dodatkowych obciążeń finansowych dla zarządzających lotni</w:t>
      </w:r>
      <w:r w:rsidR="00C10DE2">
        <w:rPr>
          <w:rFonts w:ascii="Times New Roman" w:hAnsi="Times New Roman" w:cs="Times New Roman"/>
          <w:szCs w:val="24"/>
        </w:rPr>
        <w:t>skami ani dla innych podmiotów.</w:t>
      </w:r>
    </w:p>
    <w:p w14:paraId="31779BC5" w14:textId="77777777" w:rsidR="0009689F" w:rsidRDefault="0009689F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>Rozwiązania zawarte w projekcie rozporządzenia nie będą miały wpływu na działalność mikroprzedsiębiorców, małych i średnich przedsiębiorców.</w:t>
      </w:r>
    </w:p>
    <w:p w14:paraId="6F7E2014" w14:textId="4AC54853" w:rsidR="008637E7" w:rsidRPr="008A0F17" w:rsidRDefault="008637E7" w:rsidP="008A0F17">
      <w:pPr>
        <w:pStyle w:val="ARTartustawynprozporzdzenia"/>
        <w:ind w:firstLine="0"/>
      </w:pPr>
      <w:r w:rsidRPr="008637E7">
        <w:t>Nie ma możliwości osiągnięcia celu za pomocą innych środków niż zmiana rozporządzenia.</w:t>
      </w:r>
    </w:p>
    <w:p w14:paraId="0BEFE919" w14:textId="77777777" w:rsidR="0009689F" w:rsidRPr="004802A7" w:rsidRDefault="0009689F" w:rsidP="00FB18D8">
      <w:pPr>
        <w:pStyle w:val="Nagwek2"/>
        <w:tabs>
          <w:tab w:val="clear" w:pos="567"/>
          <w:tab w:val="left" w:pos="709"/>
        </w:tabs>
        <w:spacing w:before="360"/>
        <w:ind w:left="709" w:hanging="709"/>
        <w:jc w:val="both"/>
        <w:rPr>
          <w:rStyle w:val="Ppogrubienie"/>
          <w:szCs w:val="24"/>
        </w:rPr>
      </w:pPr>
      <w:r w:rsidRPr="004802A7">
        <w:rPr>
          <w:rStyle w:val="Ppogrubienie"/>
          <w:szCs w:val="24"/>
        </w:rPr>
        <w:t xml:space="preserve">VI. </w:t>
      </w:r>
      <w:r w:rsidRPr="004802A7">
        <w:rPr>
          <w:rStyle w:val="Ppogrubienie"/>
          <w:szCs w:val="24"/>
        </w:rPr>
        <w:tab/>
        <w:t>Przedstawienie projektu właściwym organom i i</w:t>
      </w:r>
      <w:r w:rsidR="00F3046B" w:rsidRPr="004802A7">
        <w:rPr>
          <w:rStyle w:val="Ppogrubienie"/>
          <w:szCs w:val="24"/>
        </w:rPr>
        <w:t>nstytucjom Unii Europejskiej, w</w:t>
      </w:r>
      <w:r w:rsidR="00992301" w:rsidRPr="004802A7">
        <w:rPr>
          <w:rStyle w:val="Ppogrubienie"/>
          <w:szCs w:val="24"/>
        </w:rPr>
        <w:t xml:space="preserve"> </w:t>
      </w:r>
      <w:r w:rsidRPr="004802A7">
        <w:rPr>
          <w:rStyle w:val="Ppogrubienie"/>
          <w:szCs w:val="24"/>
        </w:rPr>
        <w:t>tym Europejskiemu Bankowi Centralnemu, w</w:t>
      </w:r>
      <w:r w:rsidR="00992301" w:rsidRPr="004802A7">
        <w:rPr>
          <w:rStyle w:val="Ppogrubienie"/>
          <w:szCs w:val="24"/>
        </w:rPr>
        <w:t xml:space="preserve"> </w:t>
      </w:r>
      <w:r w:rsidRPr="004802A7">
        <w:rPr>
          <w:rStyle w:val="Ppogrubienie"/>
          <w:szCs w:val="24"/>
        </w:rPr>
        <w:t>celu uzyskania opinii, dokonania powiadomienia, konsultacji albo uzgodnienia,</w:t>
      </w:r>
      <w:r w:rsidR="00F3046B" w:rsidRPr="004802A7">
        <w:rPr>
          <w:rStyle w:val="Ppogrubienie"/>
          <w:szCs w:val="24"/>
        </w:rPr>
        <w:t xml:space="preserve"> jeżeli obowiązek taki wynika z</w:t>
      </w:r>
      <w:r w:rsidR="00992301" w:rsidRPr="004802A7">
        <w:rPr>
          <w:rStyle w:val="Ppogrubienie"/>
          <w:szCs w:val="24"/>
        </w:rPr>
        <w:t xml:space="preserve"> </w:t>
      </w:r>
      <w:r w:rsidRPr="004802A7">
        <w:rPr>
          <w:rStyle w:val="Ppogrubienie"/>
          <w:szCs w:val="24"/>
        </w:rPr>
        <w:t>odrębnych przepisów</w:t>
      </w:r>
    </w:p>
    <w:p w14:paraId="0DCE0A60" w14:textId="77777777" w:rsidR="0009689F" w:rsidRPr="004802A7" w:rsidRDefault="0009689F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>Projekt rozporządzenia nie wymaga przedstawienia właściwym instytucjom i organom Unii Europejskiej, w tym Europejskiemu Bankowi Centralnemu, w celu uzyskania opinii, dokonania konsultacji albo uzgodnienia.</w:t>
      </w:r>
    </w:p>
    <w:p w14:paraId="6251D265" w14:textId="77777777" w:rsidR="0009689F" w:rsidRPr="004802A7" w:rsidRDefault="0009689F" w:rsidP="00FB18D8">
      <w:pPr>
        <w:pStyle w:val="Nagwek2"/>
        <w:tabs>
          <w:tab w:val="clear" w:pos="567"/>
          <w:tab w:val="left" w:pos="709"/>
        </w:tabs>
        <w:spacing w:before="360"/>
        <w:ind w:left="709" w:hanging="709"/>
        <w:jc w:val="both"/>
        <w:rPr>
          <w:rStyle w:val="Ppogrubienie"/>
          <w:szCs w:val="24"/>
        </w:rPr>
      </w:pPr>
      <w:r w:rsidRPr="004802A7">
        <w:rPr>
          <w:rStyle w:val="Ppogrubienie"/>
          <w:szCs w:val="24"/>
        </w:rPr>
        <w:t xml:space="preserve">VII. </w:t>
      </w:r>
      <w:r w:rsidRPr="004802A7">
        <w:rPr>
          <w:rStyle w:val="Ppogrubienie"/>
          <w:szCs w:val="24"/>
        </w:rPr>
        <w:tab/>
        <w:t>Udostępnienie w Biuletynie Informacji Publicznej</w:t>
      </w:r>
    </w:p>
    <w:p w14:paraId="780145B4" w14:textId="5B5A253E" w:rsidR="0009689F" w:rsidRPr="004802A7" w:rsidRDefault="0009689F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 xml:space="preserve">Zgodnie z </w:t>
      </w:r>
      <w:r w:rsidRPr="004802A7">
        <w:rPr>
          <w:rFonts w:ascii="Times New Roman" w:hAnsi="Times New Roman" w:cs="Times New Roman"/>
          <w:b/>
          <w:szCs w:val="24"/>
        </w:rPr>
        <w:t>§</w:t>
      </w:r>
      <w:r w:rsidRPr="004802A7">
        <w:rPr>
          <w:rFonts w:ascii="Times New Roman" w:hAnsi="Times New Roman" w:cs="Times New Roman"/>
          <w:szCs w:val="24"/>
        </w:rPr>
        <w:t xml:space="preserve"> 52 uchwały nr 190 Rady Ministrów z dnia 29 października 2013 r. – Regulaminu pracy Rady Ministrów (</w:t>
      </w:r>
      <w:r w:rsidR="006D57D2" w:rsidRPr="00D94E68">
        <w:rPr>
          <w:rFonts w:ascii="Times New Roman" w:hAnsi="Times New Roman" w:cs="Times New Roman"/>
          <w:szCs w:val="24"/>
        </w:rPr>
        <w:t>M.P. z 20</w:t>
      </w:r>
      <w:r w:rsidR="006D57D2">
        <w:rPr>
          <w:rFonts w:ascii="Times New Roman" w:hAnsi="Times New Roman" w:cs="Times New Roman"/>
          <w:szCs w:val="24"/>
        </w:rPr>
        <w:t>22</w:t>
      </w:r>
      <w:r w:rsidR="006D57D2" w:rsidRPr="00D94E68">
        <w:rPr>
          <w:rFonts w:ascii="Times New Roman" w:hAnsi="Times New Roman" w:cs="Times New Roman"/>
          <w:szCs w:val="24"/>
        </w:rPr>
        <w:t xml:space="preserve"> r. poz.</w:t>
      </w:r>
      <w:r w:rsidR="006D57D2">
        <w:rPr>
          <w:rFonts w:ascii="Times New Roman" w:hAnsi="Times New Roman" w:cs="Times New Roman"/>
          <w:szCs w:val="24"/>
        </w:rPr>
        <w:t xml:space="preserve"> 348</w:t>
      </w:r>
      <w:r w:rsidRPr="004802A7">
        <w:rPr>
          <w:rFonts w:ascii="Times New Roman" w:hAnsi="Times New Roman" w:cs="Times New Roman"/>
          <w:szCs w:val="24"/>
        </w:rPr>
        <w:t xml:space="preserve">) projekt rozporządzenia zostanie udostępniony w Biuletynie Informacji Publicznej </w:t>
      </w:r>
      <w:r w:rsidR="008637E7">
        <w:rPr>
          <w:rFonts w:ascii="Times New Roman" w:hAnsi="Times New Roman" w:cs="Times New Roman"/>
          <w:szCs w:val="24"/>
        </w:rPr>
        <w:t xml:space="preserve">na stronie podmiotowej </w:t>
      </w:r>
      <w:r w:rsidRPr="004802A7">
        <w:rPr>
          <w:rFonts w:ascii="Times New Roman" w:hAnsi="Times New Roman" w:cs="Times New Roman"/>
          <w:szCs w:val="24"/>
        </w:rPr>
        <w:t>Rządowego Centrum Legislacji w serwisie Rządowy Proces Legislacyjny z chwilą przekazania d</w:t>
      </w:r>
      <w:r w:rsidR="00F3046B" w:rsidRPr="004802A7">
        <w:rPr>
          <w:rFonts w:ascii="Times New Roman" w:hAnsi="Times New Roman" w:cs="Times New Roman"/>
          <w:szCs w:val="24"/>
        </w:rPr>
        <w:t>o uzgodnień międzyresortowych i</w:t>
      </w:r>
      <w:r w:rsidR="00992301" w:rsidRPr="004802A7">
        <w:rPr>
          <w:rFonts w:ascii="Times New Roman" w:hAnsi="Times New Roman" w:cs="Times New Roman"/>
          <w:szCs w:val="24"/>
        </w:rPr>
        <w:t xml:space="preserve"> </w:t>
      </w:r>
      <w:r w:rsidRPr="004802A7">
        <w:rPr>
          <w:rFonts w:ascii="Times New Roman" w:hAnsi="Times New Roman" w:cs="Times New Roman"/>
          <w:szCs w:val="24"/>
        </w:rPr>
        <w:t>konsultacji publicznych.</w:t>
      </w:r>
    </w:p>
    <w:p w14:paraId="0A58C8F0" w14:textId="77777777" w:rsidR="0009689F" w:rsidRPr="004802A7" w:rsidRDefault="0009689F" w:rsidP="00FB18D8">
      <w:pPr>
        <w:pStyle w:val="Nagwek2"/>
        <w:tabs>
          <w:tab w:val="clear" w:pos="567"/>
          <w:tab w:val="left" w:pos="709"/>
        </w:tabs>
        <w:spacing w:before="360"/>
        <w:ind w:left="709" w:hanging="709"/>
        <w:jc w:val="both"/>
        <w:rPr>
          <w:rStyle w:val="Ppogrubienie"/>
          <w:szCs w:val="24"/>
        </w:rPr>
      </w:pPr>
      <w:r w:rsidRPr="004802A7">
        <w:rPr>
          <w:rStyle w:val="Ppogrubienie"/>
          <w:szCs w:val="24"/>
        </w:rPr>
        <w:t>VIII.</w:t>
      </w:r>
      <w:r w:rsidRPr="004802A7">
        <w:rPr>
          <w:rStyle w:val="Ppogrubienie"/>
          <w:szCs w:val="24"/>
        </w:rPr>
        <w:tab/>
        <w:t>Ocena organu wnioskującego, czy projekt ten podlega notyfikacji zgodnie z</w:t>
      </w:r>
      <w:r w:rsidR="00992301" w:rsidRPr="004802A7">
        <w:rPr>
          <w:rStyle w:val="Ppogrubienie"/>
          <w:szCs w:val="24"/>
        </w:rPr>
        <w:t xml:space="preserve"> </w:t>
      </w:r>
      <w:r w:rsidRPr="004802A7">
        <w:rPr>
          <w:rStyle w:val="Ppogrubienie"/>
          <w:szCs w:val="24"/>
        </w:rPr>
        <w:t>przepisami dotyczącymi funkcjonowania krajo</w:t>
      </w:r>
      <w:r w:rsidR="0046399B" w:rsidRPr="004802A7">
        <w:rPr>
          <w:rStyle w:val="Ppogrubienie"/>
          <w:szCs w:val="24"/>
        </w:rPr>
        <w:t>wego systemu notyfikacji norm i</w:t>
      </w:r>
      <w:r w:rsidR="00992301" w:rsidRPr="004802A7">
        <w:rPr>
          <w:rStyle w:val="Ppogrubienie"/>
          <w:szCs w:val="24"/>
        </w:rPr>
        <w:t xml:space="preserve"> </w:t>
      </w:r>
      <w:r w:rsidRPr="004802A7">
        <w:rPr>
          <w:rStyle w:val="Ppogrubienie"/>
          <w:szCs w:val="24"/>
        </w:rPr>
        <w:t>aktów prawnych</w:t>
      </w:r>
    </w:p>
    <w:p w14:paraId="0B2149E6" w14:textId="64078C19" w:rsidR="0009689F" w:rsidRPr="004802A7" w:rsidRDefault="0009689F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>Regulacje zawarte w projektowanym rozporządzeniu nie stanowią przepisów technicznych w</w:t>
      </w:r>
      <w:r w:rsidR="00992301" w:rsidRPr="004802A7">
        <w:rPr>
          <w:rFonts w:ascii="Times New Roman" w:hAnsi="Times New Roman" w:cs="Times New Roman"/>
          <w:szCs w:val="24"/>
        </w:rPr>
        <w:t xml:space="preserve"> </w:t>
      </w:r>
      <w:r w:rsidRPr="004802A7">
        <w:rPr>
          <w:rFonts w:ascii="Times New Roman" w:hAnsi="Times New Roman" w:cs="Times New Roman"/>
          <w:szCs w:val="24"/>
        </w:rPr>
        <w:t>rozumieniu rozporządzenia Rady Ministrów z dnia 23 grudnia 2002 r. w sprawie sposobu funkcjonowania krajowego systemu notyfikacji norm i aktów prawnych (Dz. U poz. 2039 oraz z 2004 r. poz. 597), zat</w:t>
      </w:r>
      <w:r w:rsidR="00C10DE2">
        <w:rPr>
          <w:rFonts w:ascii="Times New Roman" w:hAnsi="Times New Roman" w:cs="Times New Roman"/>
          <w:szCs w:val="24"/>
        </w:rPr>
        <w:t>em nie podlega ono notyfikacji.</w:t>
      </w:r>
    </w:p>
    <w:p w14:paraId="45AD9125" w14:textId="77777777" w:rsidR="0009689F" w:rsidRPr="004802A7" w:rsidRDefault="0009689F" w:rsidP="00FB18D8">
      <w:pPr>
        <w:pStyle w:val="Nagwek2"/>
        <w:tabs>
          <w:tab w:val="clear" w:pos="567"/>
          <w:tab w:val="left" w:pos="709"/>
        </w:tabs>
        <w:spacing w:before="360"/>
        <w:ind w:left="709" w:hanging="709"/>
        <w:jc w:val="both"/>
        <w:rPr>
          <w:rStyle w:val="Ppogrubienie"/>
          <w:szCs w:val="24"/>
        </w:rPr>
      </w:pPr>
      <w:r w:rsidRPr="004802A7">
        <w:rPr>
          <w:rStyle w:val="Ppogrubienie"/>
          <w:szCs w:val="24"/>
        </w:rPr>
        <w:t>IX.</w:t>
      </w:r>
      <w:r w:rsidRPr="004802A7">
        <w:rPr>
          <w:rStyle w:val="Ppogrubienie"/>
          <w:szCs w:val="24"/>
        </w:rPr>
        <w:tab/>
        <w:t>Oświadczenie organu wnioskującego co do zgodności projektu z prawem Unii Europejskiej</w:t>
      </w:r>
    </w:p>
    <w:p w14:paraId="1AEC6F64" w14:textId="344FB548" w:rsidR="00D006FB" w:rsidRDefault="004912C2" w:rsidP="00FB18D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4802A7">
        <w:rPr>
          <w:rFonts w:ascii="Times New Roman" w:hAnsi="Times New Roman" w:cs="Times New Roman"/>
          <w:szCs w:val="24"/>
        </w:rPr>
        <w:t>Projekt rozporządzenia jest zgo</w:t>
      </w:r>
      <w:r w:rsidR="00C10DE2">
        <w:rPr>
          <w:rFonts w:ascii="Times New Roman" w:hAnsi="Times New Roman" w:cs="Times New Roman"/>
          <w:szCs w:val="24"/>
        </w:rPr>
        <w:t>dny z prawem Unii Europejskiej.</w:t>
      </w:r>
    </w:p>
    <w:p w14:paraId="6B57EE08" w14:textId="30D19D6B" w:rsidR="00B42F5B" w:rsidRPr="009D24B4" w:rsidRDefault="004912C2" w:rsidP="008A0F17">
      <w:pPr>
        <w:pStyle w:val="NIEARTTEKSTtekstnieartykuowanynppodstprawnarozplubpreambua"/>
        <w:spacing w:before="0" w:after="120" w:line="288" w:lineRule="auto"/>
        <w:ind w:firstLine="0"/>
      </w:pPr>
      <w:r w:rsidRPr="004802A7">
        <w:rPr>
          <w:rFonts w:ascii="Times New Roman" w:hAnsi="Times New Roman" w:cs="Times New Roman"/>
          <w:szCs w:val="24"/>
        </w:rPr>
        <w:t>Lotniska użytku wyłącznego nie podlegają przepisom art. 2 ust. 1 lit</w:t>
      </w:r>
      <w:r w:rsidR="008637E7">
        <w:rPr>
          <w:rFonts w:ascii="Times New Roman" w:hAnsi="Times New Roman" w:cs="Times New Roman"/>
          <w:szCs w:val="24"/>
        </w:rPr>
        <w:t>.</w:t>
      </w:r>
      <w:r w:rsidRPr="004802A7">
        <w:rPr>
          <w:rFonts w:ascii="Times New Roman" w:hAnsi="Times New Roman" w:cs="Times New Roman"/>
          <w:szCs w:val="24"/>
        </w:rPr>
        <w:t xml:space="preserve"> e </w:t>
      </w:r>
      <w:r w:rsidR="008637E7">
        <w:rPr>
          <w:rFonts w:ascii="Times New Roman" w:eastAsia="Times New Roman" w:hAnsi="Times New Roman" w:cs="Times New Roman"/>
          <w:szCs w:val="24"/>
        </w:rPr>
        <w:t>r</w:t>
      </w:r>
      <w:r w:rsidRPr="004802A7">
        <w:rPr>
          <w:rFonts w:ascii="Times New Roman" w:eastAsia="Times New Roman" w:hAnsi="Times New Roman" w:cs="Times New Roman"/>
          <w:szCs w:val="24"/>
        </w:rPr>
        <w:t xml:space="preserve">ozporządzenia Parlamentu Europejskiego i Rady (UE) </w:t>
      </w:r>
      <w:r w:rsidR="00EE3F62" w:rsidRPr="004802A7">
        <w:rPr>
          <w:rFonts w:ascii="Times New Roman" w:eastAsia="Times New Roman" w:hAnsi="Times New Roman" w:cs="Times New Roman"/>
          <w:szCs w:val="24"/>
        </w:rPr>
        <w:t>2018/1139 z dnia 4 lipca 2018 r. w sprawie wspólnych zasad w dziedzinie lotnictwa cywilnego i utworzenia Agencji Unii Europejskiej ds. Bezpieczeństwa Lotniczego oraz zmieniającego rozporządzenia Parlamentu Europejskiego i Rady (WE) nr 2111/2005, (WE) nr</w:t>
      </w:r>
      <w:r w:rsidR="00992301" w:rsidRPr="004802A7">
        <w:rPr>
          <w:rFonts w:ascii="Times New Roman" w:eastAsia="Times New Roman" w:hAnsi="Times New Roman" w:cs="Times New Roman"/>
          <w:szCs w:val="24"/>
        </w:rPr>
        <w:t xml:space="preserve"> </w:t>
      </w:r>
      <w:r w:rsidR="00EE3F62" w:rsidRPr="004802A7">
        <w:rPr>
          <w:rFonts w:ascii="Times New Roman" w:eastAsia="Times New Roman" w:hAnsi="Times New Roman" w:cs="Times New Roman"/>
          <w:szCs w:val="24"/>
        </w:rPr>
        <w:t>1008/2008, (UE) nr 996/2010, (UE) nr 376/2014 i dyrektywy Parlamentu Europejskiego i</w:t>
      </w:r>
      <w:r w:rsidR="00992301" w:rsidRPr="004802A7">
        <w:rPr>
          <w:rFonts w:ascii="Times New Roman" w:eastAsia="Times New Roman" w:hAnsi="Times New Roman" w:cs="Times New Roman"/>
          <w:szCs w:val="24"/>
        </w:rPr>
        <w:t xml:space="preserve"> </w:t>
      </w:r>
      <w:r w:rsidR="00EE3F62" w:rsidRPr="004802A7">
        <w:rPr>
          <w:rFonts w:ascii="Times New Roman" w:eastAsia="Times New Roman" w:hAnsi="Times New Roman" w:cs="Times New Roman"/>
          <w:szCs w:val="24"/>
        </w:rPr>
        <w:t>Rady 2014/30/UE i 2014/53/UE, a także uchylające</w:t>
      </w:r>
      <w:r w:rsidR="00B803D7" w:rsidRPr="004802A7">
        <w:rPr>
          <w:rFonts w:ascii="Times New Roman" w:eastAsia="Times New Roman" w:hAnsi="Times New Roman" w:cs="Times New Roman"/>
          <w:szCs w:val="24"/>
        </w:rPr>
        <w:t>go</w:t>
      </w:r>
      <w:r w:rsidR="00EE3F62" w:rsidRPr="004802A7">
        <w:rPr>
          <w:rFonts w:ascii="Times New Roman" w:eastAsia="Times New Roman" w:hAnsi="Times New Roman" w:cs="Times New Roman"/>
          <w:szCs w:val="24"/>
        </w:rPr>
        <w:t xml:space="preserve"> rozporządzenia Parlamentu Europejskiego i</w:t>
      </w:r>
      <w:r w:rsidR="00992301" w:rsidRPr="004802A7">
        <w:rPr>
          <w:rFonts w:ascii="Times New Roman" w:eastAsia="Times New Roman" w:hAnsi="Times New Roman" w:cs="Times New Roman"/>
          <w:szCs w:val="24"/>
        </w:rPr>
        <w:t xml:space="preserve"> </w:t>
      </w:r>
      <w:r w:rsidR="00EE3F62" w:rsidRPr="004802A7">
        <w:rPr>
          <w:rFonts w:ascii="Times New Roman" w:eastAsia="Times New Roman" w:hAnsi="Times New Roman" w:cs="Times New Roman"/>
          <w:szCs w:val="24"/>
        </w:rPr>
        <w:t>Rady (WE) nr 552/2004 i (WE) nr 216/2008 i rozporządzenie Rady (EWG) nr 3922/91</w:t>
      </w:r>
      <w:r w:rsidR="0070405B" w:rsidRPr="004802A7">
        <w:rPr>
          <w:rFonts w:ascii="Times New Roman" w:eastAsia="Times New Roman" w:hAnsi="Times New Roman" w:cs="Times New Roman"/>
          <w:szCs w:val="24"/>
        </w:rPr>
        <w:t xml:space="preserve"> </w:t>
      </w:r>
      <w:r w:rsidR="0070405B" w:rsidRPr="004802A7">
        <w:rPr>
          <w:rFonts w:ascii="Times New Roman" w:eastAsia="Times New Roman" w:hAnsi="Times New Roman" w:cs="Times New Roman"/>
          <w:bCs w:val="0"/>
          <w:szCs w:val="24"/>
        </w:rPr>
        <w:t>(Dz. Urz. UE L 212</w:t>
      </w:r>
      <w:r w:rsidR="0070405B" w:rsidRPr="004802A7">
        <w:rPr>
          <w:rFonts w:ascii="Times New Roman" w:eastAsia="Times New Roman" w:hAnsi="Times New Roman" w:cs="Times New Roman"/>
          <w:szCs w:val="24"/>
        </w:rPr>
        <w:t xml:space="preserve"> z 22.</w:t>
      </w:r>
      <w:r w:rsidR="00807EAB">
        <w:rPr>
          <w:rFonts w:ascii="Times New Roman" w:eastAsia="Times New Roman" w:hAnsi="Times New Roman" w:cs="Times New Roman"/>
          <w:szCs w:val="24"/>
        </w:rPr>
        <w:t>0</w:t>
      </w:r>
      <w:r w:rsidR="0070405B" w:rsidRPr="004802A7">
        <w:rPr>
          <w:rFonts w:ascii="Times New Roman" w:eastAsia="Times New Roman" w:hAnsi="Times New Roman" w:cs="Times New Roman"/>
          <w:szCs w:val="24"/>
        </w:rPr>
        <w:t>8.2018, str. 1</w:t>
      </w:r>
      <w:r w:rsidR="008637E7">
        <w:rPr>
          <w:rFonts w:ascii="Times New Roman" w:eastAsia="Times New Roman" w:hAnsi="Times New Roman" w:cs="Times New Roman"/>
          <w:szCs w:val="24"/>
        </w:rPr>
        <w:t>, z późn. zm.</w:t>
      </w:r>
      <w:r w:rsidR="0070405B" w:rsidRPr="004802A7">
        <w:rPr>
          <w:rFonts w:ascii="Times New Roman" w:eastAsia="Times New Roman" w:hAnsi="Times New Roman" w:cs="Times New Roman"/>
          <w:szCs w:val="24"/>
        </w:rPr>
        <w:t>)</w:t>
      </w:r>
      <w:r w:rsidR="0098103B" w:rsidRPr="004802A7">
        <w:rPr>
          <w:rFonts w:ascii="Times New Roman" w:eastAsia="Times New Roman" w:hAnsi="Times New Roman" w:cs="Times New Roman"/>
          <w:szCs w:val="24"/>
        </w:rPr>
        <w:t>.</w:t>
      </w:r>
      <w:bookmarkStart w:id="17" w:name="Wybór1"/>
      <w:bookmarkEnd w:id="17"/>
    </w:p>
    <w:sectPr w:rsidR="00B42F5B" w:rsidRPr="009D24B4" w:rsidSect="00A15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86359E" w16cid:durableId="267FB441"/>
  <w16cid:commentId w16cid:paraId="6DF7F930" w16cid:durableId="267FC0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7E0C3" w14:textId="77777777" w:rsidR="00B733F8" w:rsidRDefault="00B733F8" w:rsidP="0009689F">
      <w:pPr>
        <w:spacing w:after="0" w:line="240" w:lineRule="auto"/>
      </w:pPr>
      <w:r>
        <w:separator/>
      </w:r>
    </w:p>
  </w:endnote>
  <w:endnote w:type="continuationSeparator" w:id="0">
    <w:p w14:paraId="1C72409B" w14:textId="77777777" w:rsidR="00B733F8" w:rsidRDefault="00B733F8" w:rsidP="0009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083974"/>
      <w:docPartObj>
        <w:docPartGallery w:val="Page Numbers (Bottom of Page)"/>
        <w:docPartUnique/>
      </w:docPartObj>
    </w:sdtPr>
    <w:sdtEndPr/>
    <w:sdtContent>
      <w:p w14:paraId="1C2F45BA" w14:textId="6FB98EB9" w:rsidR="000928C0" w:rsidRDefault="000928C0" w:rsidP="005B210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733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498E" w14:textId="77777777" w:rsidR="00B733F8" w:rsidRDefault="00B733F8" w:rsidP="0009689F">
      <w:pPr>
        <w:spacing w:after="0" w:line="240" w:lineRule="auto"/>
      </w:pPr>
      <w:r>
        <w:separator/>
      </w:r>
    </w:p>
  </w:footnote>
  <w:footnote w:type="continuationSeparator" w:id="0">
    <w:p w14:paraId="6CF40FD2" w14:textId="77777777" w:rsidR="00B733F8" w:rsidRDefault="00B733F8" w:rsidP="0009689F">
      <w:pPr>
        <w:spacing w:after="0" w:line="240" w:lineRule="auto"/>
      </w:pPr>
      <w:r>
        <w:continuationSeparator/>
      </w:r>
    </w:p>
  </w:footnote>
  <w:footnote w:id="1">
    <w:p w14:paraId="289667EB" w14:textId="1E18B1D9" w:rsidR="000928C0" w:rsidRPr="0098103B" w:rsidRDefault="000928C0" w:rsidP="00C468B6">
      <w:pPr>
        <w:pStyle w:val="Tekstprzypisudolnego"/>
        <w:spacing w:after="0"/>
        <w:rPr>
          <w:lang w:val="en-US"/>
        </w:rPr>
      </w:pPr>
      <w:r>
        <w:rPr>
          <w:rStyle w:val="Odwoanieprzypisudolnego"/>
        </w:rPr>
        <w:footnoteRef/>
      </w:r>
      <w:r>
        <w:rPr>
          <w:vertAlign w:val="superscript"/>
          <w:lang w:val="en-US"/>
        </w:rPr>
        <w:t>)</w:t>
      </w:r>
      <w:r w:rsidRPr="0098103B">
        <w:rPr>
          <w:lang w:val="en-US"/>
        </w:rPr>
        <w:t xml:space="preserve"> </w:t>
      </w:r>
      <w:r w:rsidRPr="00C468B6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Universal Safety Oversight Audit Programme Continuous Monitoring Approach</w:t>
      </w:r>
      <w:r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2D9"/>
    <w:multiLevelType w:val="hybridMultilevel"/>
    <w:tmpl w:val="BEDCA7A0"/>
    <w:lvl w:ilvl="0" w:tplc="EDAA2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7815"/>
    <w:multiLevelType w:val="hybridMultilevel"/>
    <w:tmpl w:val="0916F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3EF7"/>
    <w:multiLevelType w:val="hybridMultilevel"/>
    <w:tmpl w:val="776035D2"/>
    <w:lvl w:ilvl="0" w:tplc="EDAA2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67A1D"/>
    <w:multiLevelType w:val="hybridMultilevel"/>
    <w:tmpl w:val="8404F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B46AC"/>
    <w:multiLevelType w:val="hybridMultilevel"/>
    <w:tmpl w:val="97400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46EFA"/>
    <w:multiLevelType w:val="hybridMultilevel"/>
    <w:tmpl w:val="9E386A92"/>
    <w:lvl w:ilvl="0" w:tplc="EDAA2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34F2"/>
    <w:multiLevelType w:val="hybridMultilevel"/>
    <w:tmpl w:val="A5CAB90E"/>
    <w:lvl w:ilvl="0" w:tplc="04150017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9F"/>
    <w:rsid w:val="000226AC"/>
    <w:rsid w:val="000272BC"/>
    <w:rsid w:val="00037565"/>
    <w:rsid w:val="000444C4"/>
    <w:rsid w:val="00050A39"/>
    <w:rsid w:val="0005638F"/>
    <w:rsid w:val="0008203B"/>
    <w:rsid w:val="00082D5D"/>
    <w:rsid w:val="00083E37"/>
    <w:rsid w:val="000923B2"/>
    <w:rsid w:val="000928C0"/>
    <w:rsid w:val="0009689F"/>
    <w:rsid w:val="000969DF"/>
    <w:rsid w:val="000A2D84"/>
    <w:rsid w:val="000B19B2"/>
    <w:rsid w:val="000B2FF8"/>
    <w:rsid w:val="000C1588"/>
    <w:rsid w:val="000E7EA3"/>
    <w:rsid w:val="00105AF3"/>
    <w:rsid w:val="00106BE0"/>
    <w:rsid w:val="001077A8"/>
    <w:rsid w:val="0011194C"/>
    <w:rsid w:val="00123EF6"/>
    <w:rsid w:val="0014092A"/>
    <w:rsid w:val="0014635F"/>
    <w:rsid w:val="00146ECD"/>
    <w:rsid w:val="00147C8B"/>
    <w:rsid w:val="00170F88"/>
    <w:rsid w:val="00177774"/>
    <w:rsid w:val="001809C4"/>
    <w:rsid w:val="001A4EC9"/>
    <w:rsid w:val="001A71CE"/>
    <w:rsid w:val="001B0BC9"/>
    <w:rsid w:val="001B1758"/>
    <w:rsid w:val="001C1049"/>
    <w:rsid w:val="001C7BA6"/>
    <w:rsid w:val="001D4E36"/>
    <w:rsid w:val="001E23D3"/>
    <w:rsid w:val="001E7409"/>
    <w:rsid w:val="001F67D9"/>
    <w:rsid w:val="00227C9B"/>
    <w:rsid w:val="00231BC1"/>
    <w:rsid w:val="00237650"/>
    <w:rsid w:val="00251B8A"/>
    <w:rsid w:val="00260F39"/>
    <w:rsid w:val="002716E8"/>
    <w:rsid w:val="00277993"/>
    <w:rsid w:val="002804D9"/>
    <w:rsid w:val="002902FA"/>
    <w:rsid w:val="002F19D3"/>
    <w:rsid w:val="00312744"/>
    <w:rsid w:val="00314687"/>
    <w:rsid w:val="00323361"/>
    <w:rsid w:val="00327614"/>
    <w:rsid w:val="00361CF3"/>
    <w:rsid w:val="00361D7C"/>
    <w:rsid w:val="003655A5"/>
    <w:rsid w:val="00377F26"/>
    <w:rsid w:val="003C07BB"/>
    <w:rsid w:val="003D2206"/>
    <w:rsid w:val="003F4133"/>
    <w:rsid w:val="003F4E23"/>
    <w:rsid w:val="00420FFC"/>
    <w:rsid w:val="00431018"/>
    <w:rsid w:val="00431DFF"/>
    <w:rsid w:val="00435F4B"/>
    <w:rsid w:val="00445B5D"/>
    <w:rsid w:val="00455DE7"/>
    <w:rsid w:val="004565D6"/>
    <w:rsid w:val="00460C2A"/>
    <w:rsid w:val="0046399B"/>
    <w:rsid w:val="004802A7"/>
    <w:rsid w:val="0048773B"/>
    <w:rsid w:val="004912C2"/>
    <w:rsid w:val="00494989"/>
    <w:rsid w:val="004951D0"/>
    <w:rsid w:val="004B2A93"/>
    <w:rsid w:val="004B5324"/>
    <w:rsid w:val="004C7D93"/>
    <w:rsid w:val="004D62EE"/>
    <w:rsid w:val="004D774F"/>
    <w:rsid w:val="004E1791"/>
    <w:rsid w:val="004E67E3"/>
    <w:rsid w:val="004E7395"/>
    <w:rsid w:val="004F1515"/>
    <w:rsid w:val="004F79C1"/>
    <w:rsid w:val="00505CDD"/>
    <w:rsid w:val="00507D92"/>
    <w:rsid w:val="00511C7E"/>
    <w:rsid w:val="005134B5"/>
    <w:rsid w:val="0052414E"/>
    <w:rsid w:val="0054433F"/>
    <w:rsid w:val="00547FC1"/>
    <w:rsid w:val="00557B72"/>
    <w:rsid w:val="0056104B"/>
    <w:rsid w:val="00563A3E"/>
    <w:rsid w:val="005679D0"/>
    <w:rsid w:val="00570770"/>
    <w:rsid w:val="0057752D"/>
    <w:rsid w:val="005A3A48"/>
    <w:rsid w:val="005A3FC4"/>
    <w:rsid w:val="005B167B"/>
    <w:rsid w:val="005B210A"/>
    <w:rsid w:val="005C1820"/>
    <w:rsid w:val="005C40DD"/>
    <w:rsid w:val="005D2BAC"/>
    <w:rsid w:val="005D6E7B"/>
    <w:rsid w:val="005E3AF2"/>
    <w:rsid w:val="005E6068"/>
    <w:rsid w:val="00601588"/>
    <w:rsid w:val="00626F3B"/>
    <w:rsid w:val="00627800"/>
    <w:rsid w:val="0065101E"/>
    <w:rsid w:val="00661EA7"/>
    <w:rsid w:val="006677B3"/>
    <w:rsid w:val="006679EB"/>
    <w:rsid w:val="00672DEA"/>
    <w:rsid w:val="0069135A"/>
    <w:rsid w:val="006A06BB"/>
    <w:rsid w:val="006A238F"/>
    <w:rsid w:val="006B0D04"/>
    <w:rsid w:val="006B74A5"/>
    <w:rsid w:val="006C2699"/>
    <w:rsid w:val="006D24F3"/>
    <w:rsid w:val="006D55FE"/>
    <w:rsid w:val="006D57D2"/>
    <w:rsid w:val="006D6583"/>
    <w:rsid w:val="006E0023"/>
    <w:rsid w:val="006E2EB1"/>
    <w:rsid w:val="006F5848"/>
    <w:rsid w:val="006F63B1"/>
    <w:rsid w:val="00702F73"/>
    <w:rsid w:val="0070405B"/>
    <w:rsid w:val="00712B69"/>
    <w:rsid w:val="007448C5"/>
    <w:rsid w:val="007463C8"/>
    <w:rsid w:val="00764C1F"/>
    <w:rsid w:val="007712E2"/>
    <w:rsid w:val="00783304"/>
    <w:rsid w:val="00787C11"/>
    <w:rsid w:val="007934D4"/>
    <w:rsid w:val="007963EF"/>
    <w:rsid w:val="007B48DB"/>
    <w:rsid w:val="007B7CA6"/>
    <w:rsid w:val="00801F61"/>
    <w:rsid w:val="00803709"/>
    <w:rsid w:val="00807231"/>
    <w:rsid w:val="00807EAB"/>
    <w:rsid w:val="0082604A"/>
    <w:rsid w:val="0082632D"/>
    <w:rsid w:val="00850758"/>
    <w:rsid w:val="008637E7"/>
    <w:rsid w:val="00876698"/>
    <w:rsid w:val="00886043"/>
    <w:rsid w:val="008A0F17"/>
    <w:rsid w:val="008A6360"/>
    <w:rsid w:val="008B1DDF"/>
    <w:rsid w:val="008B47B8"/>
    <w:rsid w:val="008C51F3"/>
    <w:rsid w:val="008D46F4"/>
    <w:rsid w:val="008E1B7F"/>
    <w:rsid w:val="008F25F5"/>
    <w:rsid w:val="0090233C"/>
    <w:rsid w:val="0091407D"/>
    <w:rsid w:val="009338FE"/>
    <w:rsid w:val="00957C54"/>
    <w:rsid w:val="00967481"/>
    <w:rsid w:val="00972E54"/>
    <w:rsid w:val="009741EA"/>
    <w:rsid w:val="009757B7"/>
    <w:rsid w:val="0098103B"/>
    <w:rsid w:val="009916A4"/>
    <w:rsid w:val="00992301"/>
    <w:rsid w:val="009A303B"/>
    <w:rsid w:val="009A3682"/>
    <w:rsid w:val="009C2B3F"/>
    <w:rsid w:val="009D24B4"/>
    <w:rsid w:val="009E619B"/>
    <w:rsid w:val="00A15380"/>
    <w:rsid w:val="00A165E9"/>
    <w:rsid w:val="00A5149C"/>
    <w:rsid w:val="00A5209E"/>
    <w:rsid w:val="00A52DCC"/>
    <w:rsid w:val="00A56C29"/>
    <w:rsid w:val="00A6182A"/>
    <w:rsid w:val="00A7212D"/>
    <w:rsid w:val="00A76D86"/>
    <w:rsid w:val="00A800C5"/>
    <w:rsid w:val="00A831E3"/>
    <w:rsid w:val="00A86303"/>
    <w:rsid w:val="00A87A72"/>
    <w:rsid w:val="00A9557F"/>
    <w:rsid w:val="00AA20BF"/>
    <w:rsid w:val="00AB30CA"/>
    <w:rsid w:val="00AB4314"/>
    <w:rsid w:val="00AC291A"/>
    <w:rsid w:val="00AC3FBF"/>
    <w:rsid w:val="00AE47BF"/>
    <w:rsid w:val="00B118B7"/>
    <w:rsid w:val="00B11C91"/>
    <w:rsid w:val="00B13667"/>
    <w:rsid w:val="00B172E9"/>
    <w:rsid w:val="00B42F5B"/>
    <w:rsid w:val="00B5204E"/>
    <w:rsid w:val="00B535D1"/>
    <w:rsid w:val="00B5557F"/>
    <w:rsid w:val="00B60C3D"/>
    <w:rsid w:val="00B63F95"/>
    <w:rsid w:val="00B6760E"/>
    <w:rsid w:val="00B733F8"/>
    <w:rsid w:val="00B803D7"/>
    <w:rsid w:val="00B82EF1"/>
    <w:rsid w:val="00B97633"/>
    <w:rsid w:val="00BA2D2B"/>
    <w:rsid w:val="00BA6678"/>
    <w:rsid w:val="00BC26C5"/>
    <w:rsid w:val="00BD36B8"/>
    <w:rsid w:val="00BE31B7"/>
    <w:rsid w:val="00BF5895"/>
    <w:rsid w:val="00C10DE2"/>
    <w:rsid w:val="00C139C2"/>
    <w:rsid w:val="00C145F3"/>
    <w:rsid w:val="00C20130"/>
    <w:rsid w:val="00C23615"/>
    <w:rsid w:val="00C24A5D"/>
    <w:rsid w:val="00C316D0"/>
    <w:rsid w:val="00C42F65"/>
    <w:rsid w:val="00C468B6"/>
    <w:rsid w:val="00C64542"/>
    <w:rsid w:val="00C657C6"/>
    <w:rsid w:val="00C671E5"/>
    <w:rsid w:val="00C71B27"/>
    <w:rsid w:val="00C77AA5"/>
    <w:rsid w:val="00CA65AD"/>
    <w:rsid w:val="00CB296F"/>
    <w:rsid w:val="00CE3041"/>
    <w:rsid w:val="00CE7FEC"/>
    <w:rsid w:val="00D006FB"/>
    <w:rsid w:val="00D03DD7"/>
    <w:rsid w:val="00D0675B"/>
    <w:rsid w:val="00D110DA"/>
    <w:rsid w:val="00D12E3F"/>
    <w:rsid w:val="00D164E1"/>
    <w:rsid w:val="00D34E81"/>
    <w:rsid w:val="00D5026F"/>
    <w:rsid w:val="00D5601C"/>
    <w:rsid w:val="00D719FC"/>
    <w:rsid w:val="00D92FD9"/>
    <w:rsid w:val="00D96B04"/>
    <w:rsid w:val="00DA22A4"/>
    <w:rsid w:val="00DA4B69"/>
    <w:rsid w:val="00DA6FC1"/>
    <w:rsid w:val="00DA7D97"/>
    <w:rsid w:val="00DC22AC"/>
    <w:rsid w:val="00DC5860"/>
    <w:rsid w:val="00DC7559"/>
    <w:rsid w:val="00DD3422"/>
    <w:rsid w:val="00DE5A6C"/>
    <w:rsid w:val="00E11408"/>
    <w:rsid w:val="00E17A9F"/>
    <w:rsid w:val="00E26D73"/>
    <w:rsid w:val="00E52A5C"/>
    <w:rsid w:val="00E542DF"/>
    <w:rsid w:val="00E6287A"/>
    <w:rsid w:val="00E6766C"/>
    <w:rsid w:val="00E7411D"/>
    <w:rsid w:val="00E749EC"/>
    <w:rsid w:val="00E7606E"/>
    <w:rsid w:val="00E82967"/>
    <w:rsid w:val="00E939A7"/>
    <w:rsid w:val="00EA7BD7"/>
    <w:rsid w:val="00ED0F90"/>
    <w:rsid w:val="00EE2102"/>
    <w:rsid w:val="00EE2221"/>
    <w:rsid w:val="00EE3F62"/>
    <w:rsid w:val="00EE71F3"/>
    <w:rsid w:val="00EE780C"/>
    <w:rsid w:val="00EF49D2"/>
    <w:rsid w:val="00F051D0"/>
    <w:rsid w:val="00F05B84"/>
    <w:rsid w:val="00F12507"/>
    <w:rsid w:val="00F1728E"/>
    <w:rsid w:val="00F23767"/>
    <w:rsid w:val="00F3046B"/>
    <w:rsid w:val="00F35371"/>
    <w:rsid w:val="00F3700D"/>
    <w:rsid w:val="00F47E18"/>
    <w:rsid w:val="00F50ED5"/>
    <w:rsid w:val="00F9190B"/>
    <w:rsid w:val="00F9280F"/>
    <w:rsid w:val="00FA3200"/>
    <w:rsid w:val="00FB18D8"/>
    <w:rsid w:val="00FB7D43"/>
    <w:rsid w:val="00FC6F26"/>
    <w:rsid w:val="00FD368A"/>
    <w:rsid w:val="00FD4157"/>
    <w:rsid w:val="00FE3B47"/>
    <w:rsid w:val="00FE604B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4066"/>
  <w15:docId w15:val="{ECD774A9-3856-499B-8441-A19A81DF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89F"/>
    <w:pPr>
      <w:spacing w:after="120" w:line="276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Nagwek1">
    <w:name w:val="heading 1"/>
    <w:basedOn w:val="TYTDZPRZEDMprzedmiotregulacjitytuulubdziau"/>
    <w:next w:val="Normalny"/>
    <w:link w:val="Nagwek1Znak"/>
    <w:uiPriority w:val="9"/>
    <w:qFormat/>
    <w:rsid w:val="004802A7"/>
    <w:pPr>
      <w:outlineLvl w:val="0"/>
    </w:pPr>
  </w:style>
  <w:style w:type="paragraph" w:styleId="Nagwek2">
    <w:name w:val="heading 2"/>
    <w:basedOn w:val="NIEARTTEKSTtekstnieartykuowanynppodstprawnarozplubpreambua"/>
    <w:next w:val="Normalny"/>
    <w:link w:val="Nagwek2Znak"/>
    <w:uiPriority w:val="9"/>
    <w:unhideWhenUsed/>
    <w:qFormat/>
    <w:rsid w:val="00E6287A"/>
    <w:pPr>
      <w:tabs>
        <w:tab w:val="left" w:pos="567"/>
      </w:tabs>
      <w:spacing w:before="0" w:after="120" w:line="288" w:lineRule="auto"/>
      <w:ind w:left="567" w:hanging="567"/>
      <w:jc w:val="left"/>
      <w:outlineLvl w:val="1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9689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09689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689F"/>
    <w:rPr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9689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89F"/>
    <w:rPr>
      <w:rFonts w:ascii="Times" w:eastAsia="Times New Roman" w:hAnsi="Times" w:cs="Times New Roman"/>
      <w:color w:val="000000" w:themeColor="text1"/>
      <w:sz w:val="24"/>
      <w:szCs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9689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B18D8"/>
    <w:rPr>
      <w:b/>
    </w:rPr>
  </w:style>
  <w:style w:type="paragraph" w:styleId="Akapitzlist">
    <w:name w:val="List Paragraph"/>
    <w:basedOn w:val="Normalny"/>
    <w:uiPriority w:val="34"/>
    <w:qFormat/>
    <w:rsid w:val="0009689F"/>
    <w:pPr>
      <w:widowControl w:val="0"/>
      <w:spacing w:after="0"/>
      <w:ind w:left="720"/>
      <w:contextualSpacing/>
    </w:pPr>
    <w:rPr>
      <w:rFonts w:eastAsia="Calibri" w:cs="Times New Roman"/>
      <w:bCs/>
      <w:color w:val="auto"/>
      <w:sz w:val="22"/>
      <w:lang w:val="en-US"/>
    </w:rPr>
  </w:style>
  <w:style w:type="paragraph" w:customStyle="1" w:styleId="xmsonormal">
    <w:name w:val="x_msonormal"/>
    <w:basedOn w:val="Normalny"/>
    <w:rsid w:val="0009689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09689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9689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IDindeksdolny">
    <w:name w:val="_ID_ – indeks dolny"/>
    <w:basedOn w:val="Domylnaczcionkaakapitu"/>
    <w:uiPriority w:val="3"/>
    <w:qFormat/>
    <w:rsid w:val="0009689F"/>
    <w:rPr>
      <w:b w:val="0"/>
      <w:i w:val="0"/>
      <w:vanish w:val="0"/>
      <w:spacing w:val="0"/>
      <w:vertAlign w:val="sub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FD9"/>
    <w:rPr>
      <w:rFonts w:ascii="Tahoma" w:hAnsi="Tahoma" w:cs="Tahoma"/>
      <w:color w:val="000000" w:themeColor="text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6BB"/>
    <w:rPr>
      <w:rFonts w:ascii="Times New Roman" w:hAnsi="Times New Roman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6BB"/>
    <w:rPr>
      <w:rFonts w:ascii="Times New Roman" w:hAnsi="Times New Roman"/>
      <w:b/>
      <w:bCs/>
      <w:color w:val="000000" w:themeColor="text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6287A"/>
    <w:rPr>
      <w:rFonts w:ascii="Times New Roman" w:eastAsiaTheme="minorEastAsia" w:hAnsi="Times New Roman" w:cs="Times New Roman"/>
      <w:bCs/>
      <w:sz w:val="24"/>
      <w:szCs w:val="20"/>
      <w:lang w:eastAsia="pl-PL"/>
    </w:rPr>
  </w:style>
  <w:style w:type="paragraph" w:customStyle="1" w:styleId="Default">
    <w:name w:val="Default"/>
    <w:rsid w:val="006D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10A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B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10A"/>
    <w:rPr>
      <w:rFonts w:ascii="Times New Roman" w:hAnsi="Times New Roman"/>
      <w:color w:val="000000" w:themeColor="text1"/>
      <w:sz w:val="24"/>
    </w:rPr>
  </w:style>
  <w:style w:type="paragraph" w:styleId="Poprawka">
    <w:name w:val="Revision"/>
    <w:hidden/>
    <w:uiPriority w:val="99"/>
    <w:semiHidden/>
    <w:rsid w:val="00787C11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157"/>
    <w:rPr>
      <w:rFonts w:ascii="Times New Roman" w:hAnsi="Times New Roman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157"/>
    <w:rPr>
      <w:vertAlign w:val="superscript"/>
    </w:rPr>
  </w:style>
  <w:style w:type="paragraph" w:customStyle="1" w:styleId="hd-date">
    <w:name w:val="hd-date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hd-lg">
    <w:name w:val="hd-lg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hd-ti">
    <w:name w:val="hd-ti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hd-oj">
    <w:name w:val="hd-oj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02A7"/>
    <w:rPr>
      <w:rFonts w:ascii="Times" w:eastAsia="Times New Roman" w:hAnsi="Times" w:cs="Times New Roman"/>
      <w:b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CEB3E-404D-488D-BF77-0706336B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2751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Kita</dc:creator>
  <cp:lastModifiedBy>Iwanicka Anna</cp:lastModifiedBy>
  <cp:revision>4</cp:revision>
  <cp:lastPrinted>2021-10-18T08:13:00Z</cp:lastPrinted>
  <dcterms:created xsi:type="dcterms:W3CDTF">2022-08-10T08:14:00Z</dcterms:created>
  <dcterms:modified xsi:type="dcterms:W3CDTF">2022-08-11T08:04:00Z</dcterms:modified>
</cp:coreProperties>
</file>