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F9" w:rsidRPr="00D50CF9" w:rsidRDefault="00D50CF9" w:rsidP="00D50CF9">
      <w:pPr>
        <w:pStyle w:val="OZNPROJEKTUwskazaniedatylubwersjiprojektu"/>
      </w:pPr>
      <w:bookmarkStart w:id="0" w:name="_GoBack"/>
      <w:bookmarkEnd w:id="0"/>
      <w:r w:rsidRPr="00D50CF9">
        <w:t xml:space="preserve">Projekt z dnia </w:t>
      </w:r>
      <w:r w:rsidR="00F66D78">
        <w:t>19</w:t>
      </w:r>
      <w:r w:rsidR="005527BC">
        <w:t xml:space="preserve"> </w:t>
      </w:r>
      <w:r w:rsidR="0029153A">
        <w:t>lutego</w:t>
      </w:r>
      <w:r w:rsidR="00205887">
        <w:t xml:space="preserve"> </w:t>
      </w:r>
      <w:r w:rsidRPr="00D50CF9">
        <w:t>201</w:t>
      </w:r>
      <w:r w:rsidR="00205887">
        <w:t>9</w:t>
      </w:r>
      <w:r w:rsidRPr="00D50CF9">
        <w:t xml:space="preserve"> r.</w:t>
      </w:r>
    </w:p>
    <w:p w:rsidR="00D50CF9" w:rsidRPr="00D50CF9" w:rsidRDefault="00D50CF9" w:rsidP="00D50CF9">
      <w:pPr>
        <w:pStyle w:val="OZNRODZAKTUtznustawalubrozporzdzenieiorganwydajcy"/>
      </w:pPr>
      <w:r w:rsidRPr="00D50CF9">
        <w:t>ROZPORZĄDZENIE</w:t>
      </w:r>
    </w:p>
    <w:p w:rsidR="00D50CF9" w:rsidRPr="00D50CF9" w:rsidRDefault="00D50CF9" w:rsidP="00D50CF9">
      <w:pPr>
        <w:pStyle w:val="OZNRODZAKTUtznustawalubrozporzdzenieiorganwydajcy"/>
      </w:pPr>
      <w:r w:rsidRPr="00D50CF9">
        <w:t>MINISTRA INFRASTRUKTURY</w:t>
      </w:r>
      <w:r w:rsidRPr="00DB4DC4">
        <w:rPr>
          <w:rStyle w:val="IGPindeksgrnyipogrubienie"/>
        </w:rPr>
        <w:footnoteReference w:id="1"/>
      </w:r>
      <w:r w:rsidRPr="00DB4DC4">
        <w:rPr>
          <w:rStyle w:val="IGPindeksgrnyipogrubienie"/>
        </w:rPr>
        <w:t>)</w:t>
      </w:r>
    </w:p>
    <w:p w:rsidR="00D50CF9" w:rsidRPr="00D50CF9" w:rsidRDefault="00D50CF9" w:rsidP="00D50CF9">
      <w:pPr>
        <w:pStyle w:val="DATAAKTUdatauchwalenialubwydaniaaktu"/>
      </w:pPr>
      <w:r w:rsidRPr="00D50CF9">
        <w:t>z dnia ……</w:t>
      </w:r>
      <w:r w:rsidR="00A87144">
        <w:t>….</w:t>
      </w:r>
      <w:r w:rsidRPr="00D50CF9">
        <w:t>…….…..</w:t>
      </w:r>
      <w:r w:rsidR="0077761A">
        <w:t xml:space="preserve"> 2019</w:t>
      </w:r>
      <w:r w:rsidRPr="00D50CF9">
        <w:t xml:space="preserve"> r.</w:t>
      </w:r>
    </w:p>
    <w:p w:rsidR="00D50CF9" w:rsidRPr="00D50CF9" w:rsidRDefault="00D50CF9" w:rsidP="00D50CF9">
      <w:pPr>
        <w:pStyle w:val="TYTUAKTUprzedmiotregulacjiustawylubrozporzdzenia"/>
      </w:pPr>
      <w:r w:rsidRPr="00D50CF9">
        <w:t xml:space="preserve">w sprawie wymagań technicznych i eksploatacyjnych dla lotnisk, którym przyznano zwolnienie </w:t>
      </w:r>
      <w:r w:rsidR="00FA55AC">
        <w:t>ze</w:t>
      </w:r>
      <w:r w:rsidR="00FA55AC" w:rsidRPr="00D50CF9">
        <w:t xml:space="preserve"> </w:t>
      </w:r>
      <w:r w:rsidRPr="00D50CF9">
        <w:t>stosowania przepisów Unii Europejskiej</w:t>
      </w:r>
      <w:r w:rsidR="00C452FD">
        <w:t>,</w:t>
      </w:r>
      <w:r w:rsidRPr="00D50CF9">
        <w:t xml:space="preserve"> oraz lotnisk dla śmigłowców, </w:t>
      </w:r>
      <w:r w:rsidR="00B70AF2">
        <w:br/>
      </w:r>
      <w:r w:rsidRPr="00D50CF9">
        <w:t>o których mowa w przepisach Unii Europejskiej</w:t>
      </w:r>
    </w:p>
    <w:p w:rsidR="00D50CF9" w:rsidRPr="00D50CF9" w:rsidRDefault="00D50CF9" w:rsidP="00D50CF9">
      <w:pPr>
        <w:pStyle w:val="NIEARTTEKSTtekstnieartykuowanynppodstprawnarozplubpreambua"/>
      </w:pPr>
      <w:r w:rsidRPr="00D50CF9">
        <w:t>Na podstawie art. 59a ust. 5 ustawy z dnia 3 lipca 2002 r. – Prawo lotnicze (Dz. U. z 2018 r. poz. 1183, 1629</w:t>
      </w:r>
      <w:r w:rsidR="00265E67">
        <w:t xml:space="preserve"> i</w:t>
      </w:r>
      <w:r w:rsidRPr="00D50CF9">
        <w:t xml:space="preserve"> 1637</w:t>
      </w:r>
      <w:r w:rsidR="00C452FD">
        <w:t xml:space="preserve"> </w:t>
      </w:r>
      <w:r w:rsidR="00B0341A">
        <w:t xml:space="preserve">oraz z 2019 r. poz. </w:t>
      </w:r>
      <w:r w:rsidR="00F40711">
        <w:t>235</w:t>
      </w:r>
      <w:r w:rsidRPr="00D50CF9">
        <w:t>) zarządza się, co następuje:</w:t>
      </w:r>
    </w:p>
    <w:p w:rsidR="00D50CF9" w:rsidRPr="00D50CF9" w:rsidRDefault="00D50CF9" w:rsidP="003C687B">
      <w:pPr>
        <w:pStyle w:val="ROZDZODDZOZNoznaczenierozdziauluboddziau"/>
      </w:pPr>
      <w:r w:rsidRPr="00D50CF9">
        <w:t>Rozdział 1</w:t>
      </w:r>
    </w:p>
    <w:p w:rsidR="00D50CF9" w:rsidRPr="00D50CF9" w:rsidRDefault="00D50CF9" w:rsidP="00267113">
      <w:pPr>
        <w:pStyle w:val="TYTDZPRZEDMprzedmiotregulacjitytuulubdziau"/>
      </w:pPr>
      <w:r w:rsidRPr="00D50CF9">
        <w:t>Przepisy ogólne</w:t>
      </w:r>
    </w:p>
    <w:p w:rsidR="00D50CF9" w:rsidRPr="00D50CF9" w:rsidRDefault="00D50CF9" w:rsidP="00D50CF9">
      <w:pPr>
        <w:pStyle w:val="ARTartustawynprozporzdzenia"/>
      </w:pPr>
      <w:r w:rsidRPr="00D50CF9">
        <w:t>§ 1. Rozporządzenie określa wymagania techniczne i eksploatacyjne dla lotnisk użytku publicznego:</w:t>
      </w:r>
    </w:p>
    <w:p w:rsidR="00D50CF9" w:rsidRPr="00E62984" w:rsidRDefault="00D50CF9" w:rsidP="00E145DF">
      <w:pPr>
        <w:pStyle w:val="PKTpunkt"/>
      </w:pPr>
      <w:r w:rsidRPr="00E62984">
        <w:t>1)</w:t>
      </w:r>
      <w:r w:rsidRPr="00E62984">
        <w:tab/>
        <w:t>którym przyznano zwolnienie, o którym mowa w art. 2 ust. 7 rozporządzenia Parlamentu Europejskiego i Rady (UE) 2018/1139 z dnia 4 lipca 2018 r. w sprawie wspólnych zasad w dziedzinie lotnictwa cywilnego i utworzeni</w:t>
      </w:r>
      <w:r w:rsidR="00E145DF">
        <w:t xml:space="preserve">a Agencji Unii Europejskiej ds. </w:t>
      </w:r>
      <w:r w:rsidRPr="00E62984">
        <w:t>Bezpieczeństwa Lotniczego oraz zmieniaj</w:t>
      </w:r>
      <w:r w:rsidR="003C53FF" w:rsidRPr="00E62984">
        <w:t>ące</w:t>
      </w:r>
      <w:r w:rsidR="00C452FD">
        <w:t>go</w:t>
      </w:r>
      <w:r w:rsidR="003C53FF" w:rsidRPr="00E62984">
        <w:t xml:space="preserve"> rozporządzenia Parlamentu E</w:t>
      </w:r>
      <w:r w:rsidRPr="00E62984">
        <w:t>u</w:t>
      </w:r>
      <w:r w:rsidR="003C53FF" w:rsidRPr="00E62984">
        <w:t>r</w:t>
      </w:r>
      <w:r w:rsidRPr="00E62984">
        <w:t>opejskiego i Rady (WE) nr 2111/2005, (WE) nr 1008/</w:t>
      </w:r>
      <w:r w:rsidR="0074010C">
        <w:t>2008, (UE)</w:t>
      </w:r>
      <w:r w:rsidR="00CE3361">
        <w:t xml:space="preserve"> nr</w:t>
      </w:r>
      <w:r w:rsidR="0074010C">
        <w:t xml:space="preserve"> 996/2010, (UE) nr 3</w:t>
      </w:r>
      <w:r w:rsidRPr="00E62984">
        <w:t>76/2014 i dyrektywy Parlamentu Europejskiego i Rady 2014/30/UE i 2014/53/UE, a także uchylające</w:t>
      </w:r>
      <w:r w:rsidR="00C452FD">
        <w:t>go</w:t>
      </w:r>
      <w:r w:rsidRPr="00E62984">
        <w:t xml:space="preserve"> </w:t>
      </w:r>
      <w:r w:rsidR="00CE3361" w:rsidRPr="00E62984">
        <w:t>rozporządzeni</w:t>
      </w:r>
      <w:r w:rsidR="00CE3361">
        <w:t>a</w:t>
      </w:r>
      <w:r w:rsidR="00CE3361" w:rsidRPr="00E62984">
        <w:t xml:space="preserve"> </w:t>
      </w:r>
      <w:r w:rsidRPr="00E62984">
        <w:t xml:space="preserve">Parlamentu Europejskiego i Rady (WE) nr </w:t>
      </w:r>
      <w:r w:rsidR="00CE3361" w:rsidRPr="00E62984">
        <w:t>5</w:t>
      </w:r>
      <w:r w:rsidR="00CE3361">
        <w:t>5</w:t>
      </w:r>
      <w:r w:rsidR="00CE3361" w:rsidRPr="00E62984">
        <w:t>2</w:t>
      </w:r>
      <w:r w:rsidRPr="00E62984">
        <w:t>/2004 i (WE) nr 216/2008 i rozporządzenie Rady (EWG) nr 3922/91 (Dz. Urz. UE L 212 z 22.08.2018</w:t>
      </w:r>
      <w:r w:rsidR="00C452FD">
        <w:t>,</w:t>
      </w:r>
      <w:r w:rsidRPr="00E62984">
        <w:t xml:space="preserve"> str. 1);</w:t>
      </w:r>
    </w:p>
    <w:p w:rsidR="00D50CF9" w:rsidRPr="00E62984" w:rsidRDefault="00D50CF9" w:rsidP="00E62984">
      <w:pPr>
        <w:pStyle w:val="PKTpunkt"/>
      </w:pPr>
      <w:r w:rsidRPr="00E62984">
        <w:t>2)</w:t>
      </w:r>
      <w:r w:rsidRPr="00E62984">
        <w:tab/>
        <w:t>dla śmigłowców, o których mowa w art. 2 ust. 1 lit. e</w:t>
      </w:r>
      <w:r w:rsidR="00620421">
        <w:t xml:space="preserve"> </w:t>
      </w:r>
      <w:r w:rsidR="00620421" w:rsidRPr="00620421">
        <w:t xml:space="preserve">rozporządzenia Parlamentu Europejskiego i Rady (UE) 2018/1139 z dnia 4 lipca 2018 r. w sprawie wspólnych zasad w dziedzinie lotnictwa cywilnego i utworzenia Agencji Unii Europejskiej ds. Bezpieczeństwa Lotniczego oraz zmieniającego rozporządzenia Parlamentu Europejskiego i Rady (WE) nr 2111/2005, (WE) nr 1008/2008, (UE) </w:t>
      </w:r>
      <w:r w:rsidR="0092308A">
        <w:t xml:space="preserve">nr </w:t>
      </w:r>
      <w:r w:rsidR="00620421" w:rsidRPr="00620421">
        <w:t xml:space="preserve">996/2010, (UE) nr 376/2014 i dyrektywy Parlamentu Europejskiego i Rady 2014/30/UE i 2014/53/UE, a </w:t>
      </w:r>
      <w:r w:rsidR="00620421" w:rsidRPr="00620421">
        <w:lastRenderedPageBreak/>
        <w:t xml:space="preserve">także uchylającego </w:t>
      </w:r>
      <w:r w:rsidR="0092308A" w:rsidRPr="00620421">
        <w:t>rozporządzeni</w:t>
      </w:r>
      <w:r w:rsidR="0092308A">
        <w:t>a</w:t>
      </w:r>
      <w:r w:rsidR="0092308A" w:rsidRPr="00620421">
        <w:t xml:space="preserve"> </w:t>
      </w:r>
      <w:r w:rsidR="00620421" w:rsidRPr="00620421">
        <w:t xml:space="preserve">Parlamentu Europejskiego i Rady (WE) nr </w:t>
      </w:r>
      <w:r w:rsidR="0092308A" w:rsidRPr="00620421">
        <w:t>5</w:t>
      </w:r>
      <w:r w:rsidR="0092308A">
        <w:t>5</w:t>
      </w:r>
      <w:r w:rsidR="0092308A" w:rsidRPr="00620421">
        <w:t>2</w:t>
      </w:r>
      <w:r w:rsidR="00620421" w:rsidRPr="00620421">
        <w:t>/2004 i (WE) nr 216/2008 i rozporządzenie Rady (EWG) nr 3922/91</w:t>
      </w:r>
      <w:r w:rsidRPr="00E62984">
        <w:t>.</w:t>
      </w:r>
    </w:p>
    <w:p w:rsidR="00D50CF9" w:rsidRDefault="00D50CF9" w:rsidP="003C687B">
      <w:pPr>
        <w:pStyle w:val="ARTartustawynprozporzdzenia"/>
      </w:pPr>
      <w:r w:rsidRPr="00D50CF9">
        <w:t>§ 2. 1. Ilekroć w rozporządzeniu jest mowa o:</w:t>
      </w:r>
    </w:p>
    <w:p w:rsidR="00505FFF" w:rsidRDefault="00505FFF" w:rsidP="00505FFF">
      <w:pPr>
        <w:pStyle w:val="PKTpunkt"/>
      </w:pPr>
      <w:r w:rsidRPr="0060680A">
        <w:t xml:space="preserve">1) </w:t>
      </w:r>
      <w:r w:rsidRPr="0060680A">
        <w:tab/>
      </w:r>
      <w:r w:rsidR="0006799F" w:rsidRPr="00E65048">
        <w:t xml:space="preserve">autonomicznym systemie ostrzegania o wtargnięciu na drogę startową – ARIWS (Autonomous runway incursion warning system), drodze startowej, </w:t>
      </w:r>
      <w:r w:rsidR="00CF0DE3" w:rsidRPr="00E65048">
        <w:t>liczbie klasyfikacyjnej nawierzchni – PCN (Pavement classification number),</w:t>
      </w:r>
      <w:r w:rsidR="00CF0DE3">
        <w:t xml:space="preserve"> </w:t>
      </w:r>
      <w:r w:rsidR="0006799F" w:rsidRPr="00E65048">
        <w:t xml:space="preserve">liczbie klasyfikacyjnej statku powietrznego – ACN (Aircraft classification number), nośności nawierzchni sztucznej pola ruchu naziemnego, </w:t>
      </w:r>
      <w:r w:rsidR="00CF0DE3" w:rsidRPr="00E65048">
        <w:t>pasie drogi startowej, powierzchni podejścia, powierzchni podejścia wewnętrznej, powierzchni przejściowej, powierzchni przejściowej wewnętrznej, powierzchni przerwanego lądowania</w:t>
      </w:r>
      <w:r w:rsidR="00CF0DE3">
        <w:t xml:space="preserve">, </w:t>
      </w:r>
      <w:r w:rsidR="00CF0DE3" w:rsidRPr="00E65048">
        <w:t>powierzchni wznoszenia</w:t>
      </w:r>
      <w:r w:rsidR="00CF0DE3">
        <w:t xml:space="preserve">, </w:t>
      </w:r>
      <w:r w:rsidR="0006799F" w:rsidRPr="00E65048">
        <w:t xml:space="preserve">strefie bezpieczeństwa końca drogi startowej – RESA </w:t>
      </w:r>
      <w:r w:rsidR="005F20E5">
        <w:t>(Runway end safety area</w:t>
      </w:r>
      <w:r w:rsidR="00CF0DE3">
        <w:t>) i</w:t>
      </w:r>
      <w:r w:rsidR="00CF0DE3" w:rsidRPr="00E65048">
        <w:t xml:space="preserve"> światłach stanu drogi startowej – RWSL (Runway status lights)</w:t>
      </w:r>
      <w:r w:rsidR="009516FE">
        <w:t xml:space="preserve"> </w:t>
      </w:r>
      <w:r w:rsidR="0006799F" w:rsidRPr="00E65048">
        <w:t>– należy przyjmować ich znaczenie zgodnie z przepisami Załącznika 14 tom I;</w:t>
      </w:r>
    </w:p>
    <w:p w:rsidR="00D50CF9" w:rsidRPr="00D50CF9" w:rsidRDefault="002C3DC0" w:rsidP="003C687B">
      <w:pPr>
        <w:pStyle w:val="PKTpunkt"/>
      </w:pPr>
      <w:r>
        <w:t>2</w:t>
      </w:r>
      <w:r w:rsidR="00D50CF9" w:rsidRPr="00D50CF9">
        <w:t xml:space="preserve">) </w:t>
      </w:r>
      <w:r w:rsidR="00D50CF9" w:rsidRPr="00D50CF9">
        <w:tab/>
        <w:t>Załączniku 14 tom I − należy przez to rozumieć Załącznik 14 „Lotniska” tom I „Projektowanie i eksploatacja lotnisk” do Konwencji o międzynarodowym lotnictwie cywilnym, sporządzonej w Chicago dnia 7 grudnia 1944 r. (Dz. U. z 1959 r. poz. 212</w:t>
      </w:r>
      <w:r w:rsidR="0071474F">
        <w:t xml:space="preserve"> i 214</w:t>
      </w:r>
      <w:r w:rsidR="00D50CF9" w:rsidRPr="00D50CF9">
        <w:t>, z późn. zm.</w:t>
      </w:r>
      <w:r w:rsidR="00672401">
        <w:rPr>
          <w:rStyle w:val="Odwoanieprzypisudolnego"/>
        </w:rPr>
        <w:footnoteReference w:id="2"/>
      </w:r>
      <w:r w:rsidR="00672401" w:rsidRPr="003E18A0">
        <w:rPr>
          <w:rStyle w:val="IGindeksgrny"/>
        </w:rPr>
        <w:t>)</w:t>
      </w:r>
      <w:r w:rsidR="00D50CF9" w:rsidRPr="00D50CF9">
        <w:t>), ogłoszony w załączniku do o</w:t>
      </w:r>
      <w:r w:rsidR="00812F9D">
        <w:t xml:space="preserve">bwieszczenia nr </w:t>
      </w:r>
      <w:r w:rsidR="003D0295">
        <w:t>3</w:t>
      </w:r>
      <w:r w:rsidR="00D50CF9" w:rsidRPr="00D50CF9">
        <w:t xml:space="preserve"> Prezesa Urzędu Lotnictwa Cywilnego z dnia </w:t>
      </w:r>
      <w:r w:rsidR="003D0295">
        <w:t>11 stycznia 2019</w:t>
      </w:r>
      <w:r w:rsidR="00D50CF9" w:rsidRPr="00D50CF9">
        <w:t xml:space="preserve"> r. w sprawie ogłoszenia tekstu Załącznika 14, tomu I do Konwencji o międzynarodowym lotnictwie cywilnym, sporządzonej w Chicago dnia 7 grudnia 1944 r. (Dz. Urz. ULC poz. </w:t>
      </w:r>
      <w:r w:rsidR="003D0295">
        <w:t>4</w:t>
      </w:r>
      <w:r w:rsidR="00D50CF9" w:rsidRPr="00D50CF9">
        <w:t>) (w brzmieniu z dnia</w:t>
      </w:r>
      <w:r w:rsidR="003D0295">
        <w:t xml:space="preserve"> 11 stycznia 2019</w:t>
      </w:r>
      <w:r w:rsidR="00D50CF9" w:rsidRPr="00D50CF9">
        <w:t xml:space="preserve"> r.);</w:t>
      </w:r>
    </w:p>
    <w:p w:rsidR="00D50CF9" w:rsidRPr="00D50CF9" w:rsidRDefault="002C3DC0" w:rsidP="003C687B">
      <w:pPr>
        <w:pStyle w:val="PKTpunkt"/>
      </w:pPr>
      <w:r>
        <w:t>3</w:t>
      </w:r>
      <w:r w:rsidR="00D50CF9" w:rsidRPr="00D50CF9">
        <w:t xml:space="preserve">) </w:t>
      </w:r>
      <w:r w:rsidR="00D50CF9" w:rsidRPr="00D50CF9">
        <w:tab/>
        <w:t xml:space="preserve">Załączniku 14 tom II − należy przez to rozumieć Załącznik 14 „Lotniska” tom II „Lotniska dla śmigłowców” do Konwencji o międzynarodowym lotnictwie cywilnym, sporządzonej w Chicago dnia 7 grudnia 1944 r., ogłoszony w załączniku do obwieszczenia nr </w:t>
      </w:r>
      <w:r w:rsidR="003D0295">
        <w:t>4</w:t>
      </w:r>
      <w:r w:rsidR="00812F9D">
        <w:t xml:space="preserve"> </w:t>
      </w:r>
      <w:r w:rsidR="00D50CF9" w:rsidRPr="00D50CF9">
        <w:t xml:space="preserve">Prezesa Urzędu Lotnictwa Cywilnego z dnia </w:t>
      </w:r>
      <w:r w:rsidR="003D0295">
        <w:t>11 stycznia 2019</w:t>
      </w:r>
      <w:r w:rsidR="00812F9D">
        <w:t xml:space="preserve"> </w:t>
      </w:r>
      <w:r w:rsidR="00D50CF9" w:rsidRPr="00D50CF9">
        <w:t>r. w sprawie ogłoszenia tekstu Załącznika 14, tomu II do Konwencji o międzynarodowym lotnictwie cywilnym, sporządzonej w Chicago dnia 7 grudnia 1944 r. (Dz. Urz. ULC poz.</w:t>
      </w:r>
      <w:r w:rsidR="003D0295">
        <w:t xml:space="preserve"> 5</w:t>
      </w:r>
      <w:r w:rsidR="00D50CF9" w:rsidRPr="00D50CF9">
        <w:t xml:space="preserve">) (w brzmieniu z dnia </w:t>
      </w:r>
      <w:r w:rsidR="003D0295">
        <w:t>11 stycznia 2019</w:t>
      </w:r>
      <w:r w:rsidR="00D50CF9" w:rsidRPr="00D50CF9">
        <w:t xml:space="preserve"> r.).</w:t>
      </w:r>
    </w:p>
    <w:p w:rsidR="00D50CF9" w:rsidRPr="003C53FF" w:rsidRDefault="00D50CF9" w:rsidP="003C53FF">
      <w:pPr>
        <w:pStyle w:val="USTustnpkodeksu"/>
      </w:pPr>
      <w:r w:rsidRPr="003C53FF">
        <w:lastRenderedPageBreak/>
        <w:t>2. Kompetencje i obowiązki „właściwej władzy”, o której mowa w przepisach Załącznika 14 tom I lub Załącznika 14 tom II, wskazanych w niniejszym rozporządzeniu, pełni Prezes Urzędu Lotnictwa Cywilnego.</w:t>
      </w:r>
    </w:p>
    <w:p w:rsidR="00D50CF9" w:rsidRPr="00D50CF9" w:rsidRDefault="00D50CF9" w:rsidP="003C687B">
      <w:pPr>
        <w:pStyle w:val="ROZDZODDZOZNoznaczenierozdziauluboddziau"/>
      </w:pPr>
      <w:r w:rsidRPr="00D50CF9">
        <w:t>Rozdział 2</w:t>
      </w:r>
    </w:p>
    <w:p w:rsidR="00D50CF9" w:rsidRPr="00D50CF9" w:rsidRDefault="0092308A" w:rsidP="003C53FF">
      <w:pPr>
        <w:pStyle w:val="TYTDZPRZEDMprzedmiotregulacjitytuulubdziau"/>
      </w:pPr>
      <w:r>
        <w:t>Wymagania dla lotnisk</w:t>
      </w:r>
      <w:r w:rsidR="00FF723B">
        <w:t xml:space="preserve">, którym przyznano zwolnienie </w:t>
      </w:r>
      <w:r>
        <w:t>ze</w:t>
      </w:r>
      <w:r w:rsidRPr="00FF723B">
        <w:t xml:space="preserve"> </w:t>
      </w:r>
      <w:r w:rsidR="00FF723B" w:rsidRPr="00FF723B">
        <w:t>stosowania przepisów Unii Europejskiej</w:t>
      </w:r>
    </w:p>
    <w:p w:rsidR="00D50CF9" w:rsidRPr="003C53FF" w:rsidRDefault="00D50CF9" w:rsidP="003C53FF">
      <w:pPr>
        <w:pStyle w:val="ARTartustawynprozporzdzenia"/>
      </w:pPr>
      <w:r w:rsidRPr="003C53FF">
        <w:t>§ 3.  Wymagania techniczne i eksploatacyjne dla lotnisk</w:t>
      </w:r>
      <w:r w:rsidR="00B65B32">
        <w:t xml:space="preserve">, o których mowa w </w:t>
      </w:r>
      <w:r w:rsidR="00B65B32">
        <w:rPr>
          <w:rFonts w:cs="Times"/>
        </w:rPr>
        <w:t>§</w:t>
      </w:r>
      <w:r w:rsidR="00B65B32">
        <w:t xml:space="preserve"> 1 pkt 1</w:t>
      </w:r>
      <w:r w:rsidRPr="003C53FF">
        <w:t>, z zastrzeżeniem § 4–11, określają normy i zalecane metody postępowania Załącznika 14 tom I zawarte w:</w:t>
      </w:r>
    </w:p>
    <w:p w:rsidR="00D50CF9" w:rsidRPr="003C53FF" w:rsidRDefault="00D50CF9" w:rsidP="003C53FF">
      <w:pPr>
        <w:pStyle w:val="PKTpunkt"/>
      </w:pPr>
      <w:r w:rsidRPr="003C53FF">
        <w:t>1)</w:t>
      </w:r>
      <w:r w:rsidRPr="003C53FF">
        <w:tab/>
        <w:t>rozdziale 1 „Wymagania ogólne”, z wyłączeniem pkt 1.2.1, 1.2.2 i 1.4;</w:t>
      </w:r>
    </w:p>
    <w:p w:rsidR="00D50CF9" w:rsidRPr="003C53FF" w:rsidRDefault="00D50CF9" w:rsidP="003C53FF">
      <w:pPr>
        <w:pStyle w:val="PKTpunkt"/>
      </w:pPr>
      <w:r w:rsidRPr="003C53FF">
        <w:t>2)</w:t>
      </w:r>
      <w:r w:rsidRPr="003C53FF">
        <w:tab/>
        <w:t>rozdziale 2 „Dane dotyczące lotniska”, z wyłączeniem pkt 2.1.2, 2.1.3, 2.9.4, 2.9.10, 2.10 i 2.11;</w:t>
      </w:r>
    </w:p>
    <w:p w:rsidR="00D50CF9" w:rsidRPr="003C53FF" w:rsidRDefault="00D50CF9" w:rsidP="003C53FF">
      <w:pPr>
        <w:pStyle w:val="PKTpunkt"/>
      </w:pPr>
      <w:r w:rsidRPr="003C53FF">
        <w:t>3)</w:t>
      </w:r>
      <w:r w:rsidRPr="003C53FF">
        <w:tab/>
        <w:t xml:space="preserve">rozdziale 3 „Charakterystyki fizyczne”, z wyłączeniem pkt 3.5.3 w zakresie możliwości zmniejszania długości strefy bezpieczeństwa końca drogi startowej </w:t>
      </w:r>
      <w:r w:rsidR="00D33F1A" w:rsidRPr="00D50CF9">
        <w:t>−</w:t>
      </w:r>
      <w:r w:rsidR="00D33F1A">
        <w:t xml:space="preserve"> </w:t>
      </w:r>
      <w:r w:rsidRPr="003C53FF">
        <w:t>RESA</w:t>
      </w:r>
      <w:r w:rsidR="00D33F1A" w:rsidRPr="00D33F1A">
        <w:t xml:space="preserve"> </w:t>
      </w:r>
      <w:r w:rsidR="00D33F1A">
        <w:t>(Runway end safety area)</w:t>
      </w:r>
      <w:r w:rsidRPr="003C53FF">
        <w:t xml:space="preserve"> jeżeli został zainstalowany system zatrzymywania samolotów i pkt 3.5.4;</w:t>
      </w:r>
    </w:p>
    <w:p w:rsidR="00D50CF9" w:rsidRPr="003C53FF" w:rsidRDefault="00D50CF9" w:rsidP="003C53FF">
      <w:pPr>
        <w:pStyle w:val="PKTpunkt"/>
      </w:pPr>
      <w:r w:rsidRPr="003C53FF">
        <w:t>4)</w:t>
      </w:r>
      <w:r w:rsidRPr="003C53FF">
        <w:tab/>
        <w:t>rozdziale 5 „Pomoce wzrokowe dla nawigacji”, z wyłączeniem pkt 5.1.4, 5.2.2.2, 5.2.4.3, 5.3.1.2, 5.3.3, 5.3.5.2 lit. a, 5.3.7, 5.3.12.2, 5.3.12.4, 5.3.17.2, 5.3.30, 5.4.5, 5.5.2 i 5.5.6;</w:t>
      </w:r>
    </w:p>
    <w:p w:rsidR="00D50CF9" w:rsidRPr="003C53FF" w:rsidRDefault="00D50CF9" w:rsidP="003C53FF">
      <w:pPr>
        <w:pStyle w:val="PKTpunkt"/>
      </w:pPr>
      <w:r w:rsidRPr="003C53FF">
        <w:t>5)</w:t>
      </w:r>
      <w:r w:rsidRPr="003C53FF">
        <w:tab/>
        <w:t>rozdziale 7 „Pomoce wzrokowe do oznakowania stref o ograniczonym użytkowaniu”;</w:t>
      </w:r>
    </w:p>
    <w:p w:rsidR="00D50CF9" w:rsidRPr="00D50CF9" w:rsidRDefault="00D50CF9" w:rsidP="003C53FF">
      <w:pPr>
        <w:pStyle w:val="PKTpunkt"/>
      </w:pPr>
      <w:r w:rsidRPr="00D50CF9">
        <w:t>6)</w:t>
      </w:r>
      <w:r w:rsidRPr="00D50CF9">
        <w:tab/>
        <w:t>rozdziale 8 „Systemy elektryczne”, z wyłączeniem pkt 8.3.1;</w:t>
      </w:r>
    </w:p>
    <w:p w:rsidR="00D50CF9" w:rsidRPr="00D50CF9" w:rsidRDefault="00D50CF9" w:rsidP="003C53FF">
      <w:pPr>
        <w:pStyle w:val="PKTpunkt"/>
      </w:pPr>
      <w:r w:rsidRPr="00D50CF9">
        <w:t>7)</w:t>
      </w:r>
      <w:r w:rsidRPr="00D50CF9">
        <w:tab/>
        <w:t>rozdziale 9 „Lotniskowe służby operacyjne, wyposażenie i instalacje”, z wyłączeniem pkt 9.1–9.7, 9.8.7 i 9.8.8;</w:t>
      </w:r>
    </w:p>
    <w:p w:rsidR="00D50CF9" w:rsidRPr="00D50CF9" w:rsidRDefault="00D50CF9" w:rsidP="003C53FF">
      <w:pPr>
        <w:pStyle w:val="PKTpunkt"/>
      </w:pPr>
      <w:r w:rsidRPr="00D50CF9">
        <w:t>8)</w:t>
      </w:r>
      <w:r w:rsidRPr="00D50CF9">
        <w:tab/>
        <w:t>rozdziale 10 „Obsługa techniczna lotniska”, z wyłączeniem pkt 10.5.13;</w:t>
      </w:r>
    </w:p>
    <w:p w:rsidR="00D50CF9" w:rsidRPr="00D50CF9" w:rsidRDefault="00D50CF9" w:rsidP="003C53FF">
      <w:pPr>
        <w:pStyle w:val="PKTpunkt"/>
      </w:pPr>
      <w:r w:rsidRPr="00D50CF9">
        <w:t>9)</w:t>
      </w:r>
      <w:r w:rsidRPr="00D50CF9">
        <w:tab/>
        <w:t>dodatku 1 „Kolory naziemnych świateł lotniczych, oznakowania poziomego, znaków pionowych i tablic”;</w:t>
      </w:r>
    </w:p>
    <w:p w:rsidR="00D50CF9" w:rsidRPr="00D50CF9" w:rsidRDefault="00D50CF9" w:rsidP="003C53FF">
      <w:pPr>
        <w:pStyle w:val="PKTpunkt"/>
      </w:pPr>
      <w:r w:rsidRPr="00D50CF9">
        <w:t>10)</w:t>
      </w:r>
      <w:r w:rsidRPr="00D50CF9">
        <w:tab/>
        <w:t>dodatku 2 „Charakterystyki naziemnych świateł lotniczych”;</w:t>
      </w:r>
    </w:p>
    <w:p w:rsidR="00D50CF9" w:rsidRPr="00D50CF9" w:rsidRDefault="00D50CF9" w:rsidP="003C53FF">
      <w:pPr>
        <w:pStyle w:val="PKTpunkt"/>
      </w:pPr>
      <w:r w:rsidRPr="00D50CF9">
        <w:t>11)</w:t>
      </w:r>
      <w:r w:rsidRPr="00D50CF9">
        <w:tab/>
        <w:t>dodatku 3 „Oznakowanie poziome informacyjne i nakazu”;</w:t>
      </w:r>
    </w:p>
    <w:p w:rsidR="00D50CF9" w:rsidRPr="00D50CF9" w:rsidRDefault="00D50CF9" w:rsidP="003C53FF">
      <w:pPr>
        <w:pStyle w:val="PKTpunkt"/>
      </w:pPr>
      <w:r w:rsidRPr="00D50CF9">
        <w:t>12)</w:t>
      </w:r>
      <w:r w:rsidRPr="00D50CF9">
        <w:tab/>
        <w:t>dodatku 4 „Wymagania dotyczące projektowania znaków pionowych dla dróg kołowania”.</w:t>
      </w:r>
    </w:p>
    <w:p w:rsidR="00D50CF9" w:rsidRPr="00D50CF9" w:rsidRDefault="00D50CF9" w:rsidP="003C53FF">
      <w:pPr>
        <w:pStyle w:val="ARTartustawynprozporzdzenia"/>
      </w:pPr>
      <w:r w:rsidRPr="00D50CF9">
        <w:t xml:space="preserve">§ 4. 1. Dopuszcza się wykonywanie operacji lotniczych na lotnisku przez statki powietrzne, których liczba klasyfikacyjna statku powietrznego – ACN (Aircraft classification </w:t>
      </w:r>
      <w:r w:rsidRPr="00D50CF9">
        <w:lastRenderedPageBreak/>
        <w:t>number) jest większa od liczby klasyfikacyjnej nawierzchni – PCN (Pavement classification number) ustalonej dla danej drogi startowej, pod warunkiem, że w instrukcji operacyjnej lotniska</w:t>
      </w:r>
      <w:r w:rsidR="00B830E0">
        <w:t>, o której mowa w art. 69 ust. 1 ustawy</w:t>
      </w:r>
      <w:r w:rsidR="00005569">
        <w:t xml:space="preserve"> </w:t>
      </w:r>
      <w:r w:rsidR="00005569" w:rsidRPr="00005569">
        <w:t>z dnia 3 lipca 2002 r. – Prawo lotnicze</w:t>
      </w:r>
      <w:r w:rsidR="00B830E0">
        <w:t>,</w:t>
      </w:r>
      <w:r w:rsidRPr="00D50CF9">
        <w:t xml:space="preserve"> zostaną określone metody i kryteria, o których mowa w rozdziale 2 „Dane dotyczące lotniska” pkt 2.6.7 Załącznika 14 tom I, pozwalające na kontrolę użytkowania nawierzchni dla danego typu operacji</w:t>
      </w:r>
      <w:r w:rsidR="008B12A5">
        <w:t xml:space="preserve"> lotniczej</w:t>
      </w:r>
      <w:r w:rsidRPr="00D50CF9">
        <w:t>.</w:t>
      </w:r>
    </w:p>
    <w:p w:rsidR="00D50CF9" w:rsidRPr="00D50CF9" w:rsidRDefault="00D50CF9" w:rsidP="003C53FF">
      <w:pPr>
        <w:pStyle w:val="USTustnpkodeksu"/>
      </w:pPr>
      <w:r w:rsidRPr="00D50CF9">
        <w:t xml:space="preserve">2. Metody i kryteria, o których mowa w ust. 1, powinny być opracowane zgodnie z wymaganiami </w:t>
      </w:r>
      <w:r w:rsidR="00A04CD0">
        <w:t>s</w:t>
      </w:r>
      <w:r w:rsidR="00A04CD0" w:rsidRPr="00D50CF9">
        <w:t xml:space="preserve">ekcji </w:t>
      </w:r>
      <w:r w:rsidRPr="00D50CF9">
        <w:t>20 załącznika A do Załącznika 14 tom I.</w:t>
      </w:r>
    </w:p>
    <w:p w:rsidR="00D50CF9" w:rsidRPr="00B15202" w:rsidRDefault="00635B6E" w:rsidP="003C53FF">
      <w:pPr>
        <w:pStyle w:val="USTustnpkodeksu"/>
      </w:pPr>
      <w:r w:rsidRPr="00B15202">
        <w:t>3. Wyniki badań i pomiarów nośności nawierzchni sztucznej pola ruchu naziemnego, wykonywanych prac remontowych i konserwacyjnych oraz okresowych kontroli stanu nawierzchni są dokumentowane.</w:t>
      </w:r>
    </w:p>
    <w:p w:rsidR="00D50CF9" w:rsidRPr="00D50CF9" w:rsidRDefault="00D50CF9" w:rsidP="003C53FF">
      <w:pPr>
        <w:pStyle w:val="ARTartustawynprozporzdzenia"/>
      </w:pPr>
      <w:r w:rsidRPr="00D50CF9">
        <w:t>§ 5. Minimalny współczynnik tarcia, o którym mowa w rozdziale 2 „Dane dotyczące lotniska” pkt 2.9.7, w rozdziale 3 „Charakterystyki fizyczne” pkt 3.1.23 i w rozdziale 10 „Obsługa techniczna lotniska” pkt 10.2.3 i 10.2.5 Załącznika 14 tom I, określa się zgodnie z </w:t>
      </w:r>
      <w:r w:rsidR="005931D5" w:rsidRPr="00D50CF9">
        <w:t>załącznik</w:t>
      </w:r>
      <w:r w:rsidR="005931D5">
        <w:t>iem</w:t>
      </w:r>
      <w:r w:rsidR="005931D5" w:rsidRPr="00D50CF9">
        <w:t xml:space="preserve"> </w:t>
      </w:r>
      <w:r w:rsidRPr="00D50CF9">
        <w:t>do rozporządzenia.</w:t>
      </w:r>
    </w:p>
    <w:p w:rsidR="00D50CF9" w:rsidRPr="00D50CF9" w:rsidRDefault="00D50CF9" w:rsidP="003C53FF">
      <w:pPr>
        <w:pStyle w:val="ARTartustawynprozporzdzenia"/>
      </w:pPr>
      <w:r w:rsidRPr="00D50CF9">
        <w:t>§ 6. 1. Wymagania określone w rozdziale 5 „Pomoce wzrokowe dla nawigacji” pkt 5.1.4, 5.3.3 i 5.4.5 Załącznika 14 tom I stosuje się do lotnisk, na których nie jest zapewniana służba ruchu lotniczego.</w:t>
      </w:r>
    </w:p>
    <w:p w:rsidR="00D50CF9" w:rsidRPr="00D50CF9" w:rsidRDefault="00D50CF9" w:rsidP="003C53FF">
      <w:pPr>
        <w:pStyle w:val="USTustnpkodeksu"/>
      </w:pPr>
      <w:r w:rsidRPr="00D50CF9">
        <w:t xml:space="preserve">2. Wiązka światła latarni </w:t>
      </w:r>
      <w:r w:rsidR="00D94687">
        <w:t>lotniczej</w:t>
      </w:r>
      <w:r w:rsidRPr="00D50CF9">
        <w:t xml:space="preserve">, o której mowa w rozdziale 5 „Pomoce wzrokowe dla nawigacji” pkt 5.3.3.7 i 5.3.3.11 Załącznika 14 tom I, w płaszczyźnie pionowej powinna zawierać się od kąta wzniesienia nie większego niż 1°, do kąta wzniesienia wystarczającego do prowadzenia statku powietrznego na maksymalnej wysokości, dla jakiej </w:t>
      </w:r>
      <w:r w:rsidR="002E411D" w:rsidRPr="00D50CF9">
        <w:t xml:space="preserve">jest </w:t>
      </w:r>
      <w:r w:rsidRPr="00D50CF9">
        <w:t>przewidziana dana latarnia.</w:t>
      </w:r>
    </w:p>
    <w:p w:rsidR="00D50CF9" w:rsidRPr="00D50CF9" w:rsidRDefault="00D50CF9" w:rsidP="003C53FF">
      <w:pPr>
        <w:pStyle w:val="ARTartustawynprozporzdzenia"/>
      </w:pPr>
      <w:r w:rsidRPr="00D50CF9">
        <w:t xml:space="preserve">§ 7. Wymagania określone w rozdziale 5 „Pomoce wzrokowe dla nawigacji” pkt 5.3.17.2 Załącznika 14 tom I dotyczące świateł linii środkowej drogi kołowania </w:t>
      </w:r>
      <w:r w:rsidR="00AB3D53">
        <w:t xml:space="preserve">stosuje się </w:t>
      </w:r>
      <w:r w:rsidRPr="00D50CF9">
        <w:t>do lotnisk, na których są wykonywane operacje lotnicze przy widzialności wzdłuż drogi startowej poniżej 550 m.</w:t>
      </w:r>
    </w:p>
    <w:p w:rsidR="00D50CF9" w:rsidRPr="00D50CF9" w:rsidRDefault="00D50CF9" w:rsidP="003C53FF">
      <w:pPr>
        <w:pStyle w:val="ARTartustawynprozporzdzenia"/>
      </w:pPr>
      <w:r w:rsidRPr="00D50CF9">
        <w:t xml:space="preserve">§ 8. Wymagania określone w rozdziale 5 „Pomoce wzrokowe dla nawigacji” pkt 5.3.30 Załącznika 14 tom I stosuje się do lotnisk, na których zainstalowano światła stanu drogi startowej </w:t>
      </w:r>
      <w:r w:rsidR="00D33F1A" w:rsidRPr="00D50CF9">
        <w:t>–</w:t>
      </w:r>
      <w:r w:rsidR="009606B5">
        <w:t xml:space="preserve"> </w:t>
      </w:r>
      <w:r w:rsidRPr="00D50CF9">
        <w:t>RWSL</w:t>
      </w:r>
      <w:r w:rsidR="00D33F1A">
        <w:t xml:space="preserve"> (Runway status lights</w:t>
      </w:r>
      <w:r w:rsidRPr="00D50CF9">
        <w:t>).</w:t>
      </w:r>
    </w:p>
    <w:p w:rsidR="00D50CF9" w:rsidRPr="00D50CF9" w:rsidRDefault="00D50CF9" w:rsidP="003C53FF">
      <w:pPr>
        <w:pStyle w:val="ARTartustawynprozporzdzenia"/>
      </w:pPr>
      <w:r w:rsidRPr="00D50CF9">
        <w:t>§ 9. </w:t>
      </w:r>
      <w:r w:rsidR="007C4646">
        <w:t>Ś</w:t>
      </w:r>
      <w:r w:rsidRPr="00D50CF9">
        <w:t>wiatła przeszkodowe na lotnisku, o których mowa w rozdziale 8 „Systemy elektryczne” pkt 8.1.10 lit. b Załącznika 14 tom I, zlokalizowane:</w:t>
      </w:r>
    </w:p>
    <w:p w:rsidR="00D50CF9" w:rsidRPr="00D50CF9" w:rsidRDefault="00D50CF9" w:rsidP="003C53FF">
      <w:pPr>
        <w:pStyle w:val="PKTpunkt"/>
      </w:pPr>
      <w:r w:rsidRPr="00D50CF9">
        <w:lastRenderedPageBreak/>
        <w:t>1)</w:t>
      </w:r>
      <w:r w:rsidRPr="00D50CF9">
        <w:tab/>
        <w:t xml:space="preserve">w pasie drogi startowej, w strefie bezpieczeństwa </w:t>
      </w:r>
      <w:r w:rsidR="007C4646">
        <w:t xml:space="preserve">końca </w:t>
      </w:r>
      <w:r w:rsidRPr="00D50CF9">
        <w:t xml:space="preserve">drogi startowej </w:t>
      </w:r>
      <w:r w:rsidR="00D33F1A" w:rsidRPr="00D50CF9">
        <w:t>–</w:t>
      </w:r>
      <w:r w:rsidR="00D33F1A" w:rsidDel="00D33F1A">
        <w:t xml:space="preserve"> </w:t>
      </w:r>
      <w:r w:rsidRPr="00D50CF9">
        <w:t>RESA</w:t>
      </w:r>
      <w:r w:rsidR="00D33F1A">
        <w:t xml:space="preserve"> (Runway end safety area</w:t>
      </w:r>
      <w:r w:rsidR="007C4646">
        <w:t>)</w:t>
      </w:r>
      <w:r w:rsidRPr="00D50CF9">
        <w:t>, w obszarze zabezpieczenia wydłużonego startu,</w:t>
      </w:r>
    </w:p>
    <w:p w:rsidR="00D50CF9" w:rsidRPr="00D50CF9" w:rsidRDefault="00D50CF9" w:rsidP="003C53FF">
      <w:pPr>
        <w:pStyle w:val="PKTpunkt"/>
      </w:pPr>
      <w:r w:rsidRPr="00D50CF9">
        <w:t>2)</w:t>
      </w:r>
      <w:r w:rsidRPr="00D50CF9">
        <w:tab/>
        <w:t>na przeszkodach lotniczych w zasięgu powierzchni</w:t>
      </w:r>
      <w:r w:rsidR="00B830E0">
        <w:t xml:space="preserve"> ograniczających przeszkody</w:t>
      </w:r>
      <w:r w:rsidRPr="00D50CF9">
        <w:t xml:space="preserve">: </w:t>
      </w:r>
      <w:r w:rsidR="00B830E0">
        <w:t xml:space="preserve">powierzchni </w:t>
      </w:r>
      <w:r w:rsidRPr="00D50CF9">
        <w:t>podejścia,</w:t>
      </w:r>
      <w:r w:rsidR="00B830E0">
        <w:t xml:space="preserve"> powierzchni</w:t>
      </w:r>
      <w:r w:rsidRPr="00D50CF9">
        <w:t xml:space="preserve"> podejścia</w:t>
      </w:r>
      <w:r w:rsidR="006D62E9">
        <w:t xml:space="preserve"> wewnętrzn</w:t>
      </w:r>
      <w:r w:rsidR="008D69AB">
        <w:t>ej</w:t>
      </w:r>
      <w:r w:rsidRPr="00D50CF9">
        <w:t xml:space="preserve">, </w:t>
      </w:r>
      <w:r w:rsidR="00364DCF">
        <w:t xml:space="preserve">powierzchni przejściowej, </w:t>
      </w:r>
      <w:r w:rsidR="00B830E0">
        <w:t xml:space="preserve">powierzchni </w:t>
      </w:r>
      <w:r w:rsidRPr="00D50CF9">
        <w:t xml:space="preserve">przejściowej wewnętrznej, </w:t>
      </w:r>
      <w:r w:rsidR="00B830E0">
        <w:t xml:space="preserve">powierzchni </w:t>
      </w:r>
      <w:r w:rsidR="006D62E9">
        <w:t>przerwanego</w:t>
      </w:r>
      <w:r w:rsidRPr="00D50CF9">
        <w:t xml:space="preserve"> lądowania oraz </w:t>
      </w:r>
      <w:r w:rsidR="00B830E0">
        <w:t xml:space="preserve">powierzchni </w:t>
      </w:r>
      <w:r w:rsidRPr="00D50CF9">
        <w:t>wznoszenia</w:t>
      </w:r>
    </w:p>
    <w:p w:rsidR="00D50CF9" w:rsidRPr="00D50CF9" w:rsidRDefault="00D50CF9" w:rsidP="003C53FF">
      <w:pPr>
        <w:pStyle w:val="PKTpunkt"/>
      </w:pPr>
      <w:r w:rsidRPr="00D50CF9">
        <w:t>– powinny mieć zapewnione rezerwowe źródło zasilania.</w:t>
      </w:r>
    </w:p>
    <w:p w:rsidR="00D50CF9" w:rsidRPr="003C53FF" w:rsidRDefault="00D50CF9" w:rsidP="003C53FF">
      <w:pPr>
        <w:pStyle w:val="ARTartustawynprozporzdzenia"/>
      </w:pPr>
      <w:r w:rsidRPr="003C53FF">
        <w:t xml:space="preserve">§ 10. 1. Wymagania określone w rozdziale 8 „Systemy elektryczne” pkt 8.3.1 Załącznika 14 tom I dotyczące systemu monitorowania sprawności systemów świetlnych </w:t>
      </w:r>
      <w:r w:rsidR="00AB3D53">
        <w:t xml:space="preserve">stosuje się </w:t>
      </w:r>
      <w:r w:rsidRPr="003C53FF">
        <w:t>do lotnisk, na których są wykonywane operacje lotnicze przy widzialności wzdłuż drogi startowej poniżej 550 m.</w:t>
      </w:r>
    </w:p>
    <w:p w:rsidR="00D50CF9" w:rsidRPr="00D50CF9" w:rsidRDefault="00D50CF9" w:rsidP="003C53FF">
      <w:pPr>
        <w:pStyle w:val="USTustnpkodeksu"/>
      </w:pPr>
      <w:r w:rsidRPr="00D50CF9">
        <w:t>2. Minimalne poziomy niezawodności systemów świetlnych, o których mowa w rozdziale 8 „Systemy elektryczne” pkt 8.3.5 Załącznika 14 tom I, dla poszczególnych elementów tych systemów są określone w rozdziale 10 „Obsługa techniczna lotniska” pkt 10.5.7–10.5.11 Załącznika 14 tom I.</w:t>
      </w:r>
    </w:p>
    <w:p w:rsidR="00D50CF9" w:rsidRPr="00D50CF9" w:rsidRDefault="00D50CF9" w:rsidP="003C53FF">
      <w:pPr>
        <w:pStyle w:val="ARTartustawynprozporzdzenia"/>
      </w:pPr>
      <w:r w:rsidRPr="00D50CF9">
        <w:t>§ 11. Wymagania określone w rozdziale 9 „Lotniskowe służby operacyjne, wyposażenie i instalacje” pkt 9.12 Załącznika 14 tom I stosuje się do lotnisk, na których zainstalowano autonomiczny system ostrzegania o wtargnięciu na drogę startową</w:t>
      </w:r>
      <w:r w:rsidR="009606B5">
        <w:t xml:space="preserve"> </w:t>
      </w:r>
      <w:r w:rsidR="009606B5" w:rsidRPr="00D50CF9">
        <w:t>–</w:t>
      </w:r>
      <w:r w:rsidRPr="00D50CF9">
        <w:t xml:space="preserve"> ARIWS</w:t>
      </w:r>
      <w:r w:rsidR="009606B5" w:rsidRPr="009606B5">
        <w:t xml:space="preserve"> </w:t>
      </w:r>
      <w:r w:rsidR="009606B5">
        <w:t>(</w:t>
      </w:r>
      <w:r w:rsidR="009606B5" w:rsidRPr="007C2854">
        <w:t>Autonomous runway incursion warning system</w:t>
      </w:r>
      <w:r w:rsidR="009606B5">
        <w:t>)</w:t>
      </w:r>
      <w:r w:rsidRPr="00D50CF9">
        <w:t>.</w:t>
      </w:r>
    </w:p>
    <w:p w:rsidR="00D50CF9" w:rsidRPr="00D50CF9" w:rsidRDefault="00D50CF9" w:rsidP="003C53FF">
      <w:pPr>
        <w:pStyle w:val="ROZDZODDZOZNoznaczenierozdziauluboddziau"/>
      </w:pPr>
      <w:r w:rsidRPr="00D50CF9">
        <w:t>Rozdział 3</w:t>
      </w:r>
    </w:p>
    <w:p w:rsidR="00D50CF9" w:rsidRPr="00D50CF9" w:rsidRDefault="00F544BA" w:rsidP="003C53FF">
      <w:pPr>
        <w:pStyle w:val="TYTDZPRZEDMprzedmiotregulacjitytuulubdziau"/>
      </w:pPr>
      <w:r>
        <w:t>Wymagania dla lotnisk</w:t>
      </w:r>
      <w:r w:rsidRPr="00D50CF9">
        <w:t xml:space="preserve"> </w:t>
      </w:r>
      <w:r w:rsidR="00D50CF9" w:rsidRPr="00D50CF9">
        <w:t>dla śmigłowców</w:t>
      </w:r>
    </w:p>
    <w:p w:rsidR="00D50CF9" w:rsidRPr="00D50CF9" w:rsidRDefault="00D50CF9" w:rsidP="00F13A8D">
      <w:pPr>
        <w:pStyle w:val="ARTartustawynprozporzdzenia"/>
      </w:pPr>
      <w:r w:rsidRPr="00D50CF9">
        <w:t>§ 12. Wymagania techniczne i eksploatacyjne dla lotnisk</w:t>
      </w:r>
      <w:r w:rsidR="00B65B32">
        <w:t xml:space="preserve">, o których mowa w </w:t>
      </w:r>
      <w:r w:rsidR="00B65B32">
        <w:rPr>
          <w:rFonts w:cs="Times"/>
        </w:rPr>
        <w:t>§</w:t>
      </w:r>
      <w:r w:rsidR="00B65B32">
        <w:t xml:space="preserve"> 1 pkt 2,</w:t>
      </w:r>
      <w:r w:rsidRPr="00D50CF9">
        <w:t xml:space="preserve"> określają normy i zalecane metody postępowania Załącznik</w:t>
      </w:r>
      <w:r w:rsidR="009516FE">
        <w:t>a</w:t>
      </w:r>
      <w:r w:rsidRPr="00D50CF9">
        <w:t xml:space="preserve"> 14 tom II </w:t>
      </w:r>
      <w:r w:rsidR="009516FE">
        <w:t xml:space="preserve">zawarte </w:t>
      </w:r>
      <w:r w:rsidRPr="00D50CF9">
        <w:t>w:</w:t>
      </w:r>
    </w:p>
    <w:p w:rsidR="00D50CF9" w:rsidRPr="00D50CF9" w:rsidRDefault="00D50CF9" w:rsidP="000829BD">
      <w:pPr>
        <w:pStyle w:val="PKTpunkt"/>
      </w:pPr>
      <w:r w:rsidRPr="00D50CF9">
        <w:t>1)</w:t>
      </w:r>
      <w:r w:rsidRPr="00D50CF9">
        <w:tab/>
        <w:t>rozdziale 1 „Wymagania ogólne”, z wyłączeniem pkt 1.2.1;</w:t>
      </w:r>
    </w:p>
    <w:p w:rsidR="00D50CF9" w:rsidRPr="00D50CF9" w:rsidRDefault="00D50CF9" w:rsidP="000829BD">
      <w:pPr>
        <w:pStyle w:val="PKTpunkt"/>
      </w:pPr>
      <w:r w:rsidRPr="00D50CF9">
        <w:t>2)</w:t>
      </w:r>
      <w:r w:rsidRPr="00D50CF9">
        <w:tab/>
        <w:t>rozdziale 2 „Dane lotniska dla śmigłowców”;</w:t>
      </w:r>
    </w:p>
    <w:p w:rsidR="00D50CF9" w:rsidRPr="00D50CF9" w:rsidRDefault="00D50CF9" w:rsidP="000829BD">
      <w:pPr>
        <w:pStyle w:val="PKTpunkt"/>
      </w:pPr>
      <w:r w:rsidRPr="00D50CF9">
        <w:t>3)</w:t>
      </w:r>
      <w:r w:rsidRPr="00D50CF9">
        <w:tab/>
        <w:t>rozdziale 3 „Charakterystyki fizyczne”;</w:t>
      </w:r>
    </w:p>
    <w:p w:rsidR="00D50CF9" w:rsidRPr="00D50CF9" w:rsidRDefault="00D50CF9" w:rsidP="000829BD">
      <w:pPr>
        <w:pStyle w:val="PKTpunkt"/>
      </w:pPr>
      <w:r w:rsidRPr="00D50CF9">
        <w:t>4)</w:t>
      </w:r>
      <w:r w:rsidRPr="00D50CF9">
        <w:tab/>
        <w:t>rozdziale 5 „Pomoce wzrokowe”, z wyłączeniem pkt 5.3.12 i 5.3.13;</w:t>
      </w:r>
    </w:p>
    <w:p w:rsidR="00D50CF9" w:rsidRPr="00B15202" w:rsidRDefault="00635B6E" w:rsidP="000829BD">
      <w:pPr>
        <w:pStyle w:val="PKTpunkt"/>
      </w:pPr>
      <w:r w:rsidRPr="00B15202">
        <w:t>5)</w:t>
      </w:r>
      <w:r w:rsidRPr="00B15202">
        <w:tab/>
        <w:t xml:space="preserve">dodatku 1 „Międzynarodowe normy i zalecane metody postępowania dla przyrządowych lotnisk dla śmigłowców z podejściem nieprecyzyjnym i/lub precyzyjnym oraz odlotami według wskazań przyrządów”, z wyłączeniem pkt 4. </w:t>
      </w:r>
    </w:p>
    <w:p w:rsidR="00D50CF9" w:rsidRPr="00D50CF9" w:rsidRDefault="00D50CF9" w:rsidP="003C53FF">
      <w:pPr>
        <w:pStyle w:val="ROZDZODDZOZNoznaczenierozdziauluboddziau"/>
      </w:pPr>
      <w:r w:rsidRPr="00D50CF9">
        <w:lastRenderedPageBreak/>
        <w:t>Rozdział 4</w:t>
      </w:r>
    </w:p>
    <w:p w:rsidR="00D50CF9" w:rsidRPr="00D50CF9" w:rsidRDefault="00D50CF9" w:rsidP="003C53FF">
      <w:pPr>
        <w:pStyle w:val="TYTDZPRZEDMprzedmiotregulacjitytuulubdziau"/>
      </w:pPr>
      <w:r w:rsidRPr="00D50CF9">
        <w:t xml:space="preserve">Przepisy przejściowe i </w:t>
      </w:r>
      <w:r w:rsidR="002C1F7B">
        <w:t xml:space="preserve"> przepis </w:t>
      </w:r>
      <w:r w:rsidR="00723CAB" w:rsidRPr="00D50CF9">
        <w:t>końcow</w:t>
      </w:r>
      <w:r w:rsidR="00723CAB">
        <w:t>y</w:t>
      </w:r>
    </w:p>
    <w:p w:rsidR="00D50CF9" w:rsidRPr="00D50CF9" w:rsidRDefault="00D50CF9" w:rsidP="008A78C4">
      <w:pPr>
        <w:pStyle w:val="ARTartustawynprozporzdzenia"/>
      </w:pPr>
      <w:r w:rsidRPr="00D50CF9">
        <w:t>§ 13. 1.</w:t>
      </w:r>
      <w:r w:rsidR="00267113">
        <w:t xml:space="preserve"> </w:t>
      </w:r>
      <w:r w:rsidRPr="00D50CF9">
        <w:t>Do postępowań o wydanie, zmianę, przedłużenie albo wznowienie ważności certyfikatu dla lotniska użytku publiczneg</w:t>
      </w:r>
      <w:r w:rsidR="00B436C6">
        <w:t xml:space="preserve">o, któremu przyznano zwolnienie, o którym mowa w </w:t>
      </w:r>
      <w:r w:rsidR="001D35FE">
        <w:t xml:space="preserve">art. </w:t>
      </w:r>
      <w:r w:rsidR="00B830E0">
        <w:t xml:space="preserve">2 </w:t>
      </w:r>
      <w:r w:rsidR="001D35FE">
        <w:t xml:space="preserve">ust. </w:t>
      </w:r>
      <w:r w:rsidR="00B830E0">
        <w:t xml:space="preserve">7 </w:t>
      </w:r>
      <w:r w:rsidR="001D35FE" w:rsidRPr="001D35FE">
        <w:t>rozporządzenia</w:t>
      </w:r>
      <w:r w:rsidR="00505FFF" w:rsidRPr="00283250">
        <w:t xml:space="preserve"> Parlamentu Europejskiego i Rady (UE) 2018/1139 z dnia 4 lipca 2018 r. w sprawie wspólnych zasad w dziedzinie lotnictwa cywilnego i utworzenia Agencji Unii Europejskiej ds. Bezpieczeństwa Lotniczego oraz zmieniającego rozporządzenia Parlamentu Europejskiego i Rady (WE) nr 2111/2005, (WE) nr 1008/2008, (UE) nr 996/2010, (UE) nr 376/2014 i dyrektywy Parlamentu Europejskiego i Rady 2014/30/UE i 2014/53/UE, a także uchylającego rozporządzenia Parlamentu Europejskiego i Rady (WE) nr 552/2004 i (WE) nr 216/2008 i rozporządzenie Rady (EWG) nr 3922/91 (Dz. Urz. UE L 212 z 22.08.2018, str. 1)</w:t>
      </w:r>
      <w:r w:rsidR="00B436C6">
        <w:t xml:space="preserve">, wszczętych i niezakończonych </w:t>
      </w:r>
      <w:r w:rsidRPr="00D50CF9">
        <w:t xml:space="preserve">przed dniem wejścia w życie niniejszego rozporządzenia stosuje się przepisy </w:t>
      </w:r>
      <w:r w:rsidR="00B830E0">
        <w:t>dotychczasowe</w:t>
      </w:r>
      <w:r w:rsidRPr="00D50CF9">
        <w:t>.</w:t>
      </w:r>
    </w:p>
    <w:p w:rsidR="00D50CF9" w:rsidRDefault="00D50CF9" w:rsidP="00AE2E4D">
      <w:pPr>
        <w:pStyle w:val="USTustnpkodeksu"/>
      </w:pPr>
      <w:r w:rsidRPr="00D50CF9">
        <w:t>2. </w:t>
      </w:r>
      <w:r w:rsidR="009555B5">
        <w:t>D</w:t>
      </w:r>
      <w:r w:rsidRPr="00D50CF9">
        <w:t xml:space="preserve">o lotnisk użytku publicznego, którym </w:t>
      </w:r>
      <w:r w:rsidRPr="00AE2E4D">
        <w:t>przyznano</w:t>
      </w:r>
      <w:r w:rsidRPr="00D50CF9">
        <w:t xml:space="preserve"> zwolnienie, o którym mowa w art.</w:t>
      </w:r>
      <w:r w:rsidR="001D35FE">
        <w:t xml:space="preserve"> </w:t>
      </w:r>
      <w:r w:rsidR="00B830E0">
        <w:t xml:space="preserve">2 </w:t>
      </w:r>
      <w:r w:rsidR="001D35FE">
        <w:t xml:space="preserve">ust. </w:t>
      </w:r>
      <w:r w:rsidR="00B830E0">
        <w:t xml:space="preserve">7 </w:t>
      </w:r>
      <w:r w:rsidR="001D35FE" w:rsidRPr="001D35FE">
        <w:t>rozporządzenia</w:t>
      </w:r>
      <w:r w:rsidR="00505FFF" w:rsidRPr="00283250">
        <w:t xml:space="preserve"> Parlamentu Europejskiego i Rady (UE) 2018/1139 z dnia 4 lipca 2018 r. w sprawie wspólnych zasad w dziedzinie lotnictwa cywilnego i utworzenia Agencji Unii Europejskiej ds. Bezpieczeństwa Lotniczego oraz zmieniającego rozporządzenia Parlamentu Europejskiego i Rady (WE) nr 2111/2005, (WE) nr 1008/2008, (UE) nr 996/2010, (UE) nr 376/2014 i dyrektywy Parlamentu Europejskiego i Rady 2014/30/UE i 2014/53/UE, a także uchylającego rozporządzenia Parlamentu Europejskiego i Rady (WE) nr 552/2004 i (WE) nr 216/2008 i rozporządzenie Rady (EWG) nr 3922/91 (Dz. Urz. UE L 212 z 22.08.2018, str. 1)</w:t>
      </w:r>
      <w:r w:rsidRPr="00D50CF9">
        <w:t xml:space="preserve">, przed dniem wejścia w życie niniejszego rozporządzenia, </w:t>
      </w:r>
      <w:r w:rsidR="009555B5" w:rsidRPr="00D50CF9">
        <w:t xml:space="preserve">nie stosuje się </w:t>
      </w:r>
      <w:r w:rsidR="009516FE">
        <w:t>norm i zalecanych metod</w:t>
      </w:r>
      <w:r w:rsidR="009516FE" w:rsidRPr="009516FE">
        <w:t xml:space="preserve"> postępowania </w:t>
      </w:r>
      <w:r w:rsidRPr="00D50CF9">
        <w:t xml:space="preserve">Załącznika 14 tom I </w:t>
      </w:r>
      <w:r w:rsidR="009516FE">
        <w:t xml:space="preserve">zawartych </w:t>
      </w:r>
      <w:r w:rsidRPr="00D50CF9">
        <w:t>w rozdziale 3 „Charakterystyki fizyczne” pkt 3.1.13</w:t>
      </w:r>
      <w:r w:rsidR="000B7716" w:rsidRPr="000B7716">
        <w:t>–</w:t>
      </w:r>
      <w:r w:rsidRPr="00D50CF9">
        <w:t>3.1.20, 3.4.13</w:t>
      </w:r>
      <w:r w:rsidR="000B7716" w:rsidRPr="000B7716">
        <w:t>–</w:t>
      </w:r>
      <w:r w:rsidRPr="00D50CF9">
        <w:t>3.4.16, 3.5.9</w:t>
      </w:r>
      <w:r w:rsidR="000B7716" w:rsidRPr="000B7716">
        <w:t>–</w:t>
      </w:r>
      <w:r w:rsidRPr="00D50CF9">
        <w:t>3.5.11, 3.9.8</w:t>
      </w:r>
      <w:r w:rsidR="000B7716" w:rsidRPr="000B7716">
        <w:t>–</w:t>
      </w:r>
      <w:r w:rsidRPr="00D50CF9">
        <w:t>3.9.11, 3.11.5, 3.11.6, 3.13.4 i 3.13.5.</w:t>
      </w:r>
    </w:p>
    <w:p w:rsidR="00D50CF9" w:rsidRPr="00D50CF9" w:rsidRDefault="00D50CF9" w:rsidP="003C53FF">
      <w:pPr>
        <w:pStyle w:val="ARTartustawynprozporzdzenia"/>
      </w:pPr>
      <w:r w:rsidRPr="00D50CF9">
        <w:t>§ 1</w:t>
      </w:r>
      <w:r w:rsidR="005A74B0">
        <w:t>4</w:t>
      </w:r>
      <w:r w:rsidRPr="00D50CF9">
        <w:t>. Rozporządzenie wchodzi w życie</w:t>
      </w:r>
      <w:r w:rsidR="00831911">
        <w:t xml:space="preserve"> z dniem 1 kwietnia 201</w:t>
      </w:r>
      <w:r w:rsidR="003214FF">
        <w:t>9</w:t>
      </w:r>
      <w:r w:rsidR="00831911">
        <w:t xml:space="preserve"> r</w:t>
      </w:r>
      <w:r w:rsidRPr="00D50CF9">
        <w:t>.</w:t>
      </w:r>
      <w:r w:rsidR="006D2CFB">
        <w:rPr>
          <w:rStyle w:val="Odwoanieprzypisudolnego"/>
        </w:rPr>
        <w:footnoteReference w:id="3"/>
      </w:r>
      <w:r w:rsidR="006D2CFB" w:rsidRPr="00205887">
        <w:rPr>
          <w:rStyle w:val="IGindeksgrny"/>
        </w:rPr>
        <w:t>)</w:t>
      </w:r>
    </w:p>
    <w:p w:rsidR="00D50CF9" w:rsidRPr="003C53FF" w:rsidRDefault="00D50CF9" w:rsidP="00F13A8D">
      <w:pPr>
        <w:pStyle w:val="NAZORGWYDnazwaorganuwydajcegoprojektowanyakt"/>
      </w:pPr>
      <w:r w:rsidRPr="003C53FF">
        <w:tab/>
        <w:t>Minister Infrastruktury</w:t>
      </w:r>
    </w:p>
    <w:p w:rsidR="00E408CC" w:rsidRDefault="00E408CC" w:rsidP="00E408CC">
      <w:pPr>
        <w:rPr>
          <w:rStyle w:val="Kkursywa"/>
        </w:rPr>
      </w:pPr>
    </w:p>
    <w:p w:rsidR="00E408CC" w:rsidRDefault="00E408CC" w:rsidP="00E408CC">
      <w:pPr>
        <w:rPr>
          <w:rStyle w:val="Kkursywa"/>
        </w:rPr>
      </w:pPr>
    </w:p>
    <w:p w:rsidR="00D50CF9" w:rsidRPr="00D50CF9" w:rsidRDefault="00D50CF9" w:rsidP="00E408CC">
      <w:pPr>
        <w:pStyle w:val="TEKSTZacznikido"/>
      </w:pPr>
      <w:r w:rsidRPr="00D50CF9">
        <w:br w:type="page"/>
      </w:r>
      <w:r w:rsidRPr="00D50CF9">
        <w:lastRenderedPageBreak/>
        <w:t xml:space="preserve">Załącznik do rozporządzenia Ministra Infrastruktury </w:t>
      </w:r>
    </w:p>
    <w:p w:rsidR="00D50CF9" w:rsidRPr="00D50CF9" w:rsidRDefault="00D50CF9" w:rsidP="00267113">
      <w:pPr>
        <w:pStyle w:val="TEKSTZacznikido"/>
      </w:pPr>
      <w:r w:rsidRPr="00D50CF9">
        <w:t>z dnia …………… 2019 r. (poz. …)</w:t>
      </w:r>
    </w:p>
    <w:p w:rsidR="00D50CF9" w:rsidRPr="00BF2178" w:rsidRDefault="00D50CF9" w:rsidP="00E62984">
      <w:pPr>
        <w:pStyle w:val="TYTTABELItytutabeli"/>
        <w:rPr>
          <w:highlight w:val="yellow"/>
        </w:rPr>
      </w:pPr>
    </w:p>
    <w:p w:rsidR="00D50CF9" w:rsidRPr="00D50CF9" w:rsidRDefault="00D50CF9" w:rsidP="000829BD">
      <w:pPr>
        <w:pStyle w:val="ZROZDZODDZOZNzmoznrozdzoddzartykuempunktem"/>
      </w:pPr>
      <w:r w:rsidRPr="00D50CF9">
        <w:t>MINIMALNY WSP</w:t>
      </w:r>
      <w:r w:rsidRPr="00D50CF9">
        <w:rPr>
          <w:rFonts w:hint="eastAsia"/>
        </w:rPr>
        <w:t>ÓŁ</w:t>
      </w:r>
      <w:r w:rsidRPr="00D50CF9">
        <w:t xml:space="preserve">CZYNNIK TARCIA DLA </w:t>
      </w:r>
      <w:r w:rsidRPr="00D50CF9">
        <w:br/>
        <w:t>NAWIERZCHNI DR</w:t>
      </w:r>
      <w:r w:rsidRPr="00D50CF9">
        <w:rPr>
          <w:rFonts w:hint="eastAsia"/>
        </w:rPr>
        <w:t>Ó</w:t>
      </w:r>
      <w:r w:rsidRPr="00D50CF9">
        <w:t>G STARTOWYCH</w:t>
      </w:r>
    </w:p>
    <w:tbl>
      <w:tblPr>
        <w:tblpPr w:leftFromText="141" w:rightFromText="141" w:vertAnchor="text" w:horzAnchor="margin" w:tblpXSpec="center" w:tblpY="266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485"/>
        <w:gridCol w:w="1024"/>
        <w:gridCol w:w="1295"/>
        <w:gridCol w:w="1374"/>
        <w:gridCol w:w="1613"/>
        <w:gridCol w:w="1671"/>
        <w:gridCol w:w="1328"/>
      </w:tblGrid>
      <w:tr w:rsidR="00472A7F" w:rsidRPr="00503687" w:rsidTr="00472A7F"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Urządzenie pomiarowe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Opona testowa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Prędkość pomiarowa</w:t>
            </w:r>
          </w:p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(km/h)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Głębokość pomiarowa wody</w:t>
            </w:r>
          </w:p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(mm)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Wartości projektowe</w:t>
            </w:r>
            <w:r w:rsidRPr="00472A7F">
              <w:t xml:space="preserve"> dla nowej nawierzchni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Poziom planowania działań naprawczych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 xml:space="preserve">Minimalny </w:t>
            </w:r>
            <w:r w:rsidRPr="00472A7F">
              <w:t>poziom tarcia</w:t>
            </w:r>
          </w:p>
        </w:tc>
      </w:tr>
      <w:tr w:rsidR="00472A7F" w:rsidRPr="00503687" w:rsidTr="00472A7F">
        <w:trPr>
          <w:trHeight w:val="1054"/>
        </w:trPr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72A7F" w:rsidRPr="00D50CF9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Typ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Ciśnienie</w:t>
            </w:r>
          </w:p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(kPa)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F13A8D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72A7F" w:rsidRPr="00F13A8D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72A7F" w:rsidRPr="00F13A8D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72A7F" w:rsidRPr="00F13A8D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72A7F" w:rsidRPr="00F13A8D" w:rsidRDefault="00472A7F" w:rsidP="00472A7F">
            <w:pPr>
              <w:pStyle w:val="TEKSTwTABELIWYRODKOWANYtekstwyrodkowanywpoziomie"/>
            </w:pPr>
          </w:p>
        </w:tc>
      </w:tr>
      <w:tr w:rsidR="00472A7F" w:rsidRPr="00503687" w:rsidTr="00472A7F">
        <w:trPr>
          <w:trHeight w:val="206"/>
        </w:trPr>
        <w:tc>
          <w:tcPr>
            <w:tcW w:w="0" w:type="auto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(5)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(6)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(7)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F13A8D">
              <w:t>(8)</w:t>
            </w:r>
          </w:p>
        </w:tc>
      </w:tr>
      <w:tr w:rsidR="00472A7F" w:rsidRPr="00503687" w:rsidTr="00472A7F"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Przyczepa Mu-meter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70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65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0.72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0.52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0.42</w:t>
            </w:r>
          </w:p>
        </w:tc>
      </w:tr>
      <w:tr w:rsidR="00472A7F" w:rsidRPr="00503687" w:rsidTr="00472A7F">
        <w:trPr>
          <w:trHeight w:val="218"/>
        </w:trPr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D50CF9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0.66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0.26</w:t>
            </w:r>
          </w:p>
        </w:tc>
      </w:tr>
      <w:tr w:rsidR="00472A7F" w:rsidRPr="00503687" w:rsidTr="00472A7F"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Przyczepa Skiddometer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210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65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0.82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0.60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0.50</w:t>
            </w:r>
          </w:p>
        </w:tc>
      </w:tr>
      <w:tr w:rsidR="00472A7F" w:rsidRPr="00503687" w:rsidTr="00472A7F"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D50CF9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210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0.74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0.47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0.34</w:t>
            </w:r>
          </w:p>
        </w:tc>
      </w:tr>
      <w:tr w:rsidR="00472A7F" w:rsidRPr="00503687" w:rsidTr="00472A7F"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 xml:space="preserve">Surface Friction Tester </w:t>
            </w:r>
            <w:r w:rsidRPr="00472A7F">
              <w:t>Vehicle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210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65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0.82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0.60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0.50</w:t>
            </w:r>
          </w:p>
        </w:tc>
      </w:tr>
      <w:tr w:rsidR="00472A7F" w:rsidRPr="00503687" w:rsidTr="00472A7F"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D50CF9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210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0.74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0.47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0.34</w:t>
            </w:r>
          </w:p>
        </w:tc>
      </w:tr>
      <w:tr w:rsidR="00472A7F" w:rsidRPr="00503687" w:rsidTr="00472A7F"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Runway Friction Tester Vehicle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210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65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0.82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0.60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0.50</w:t>
            </w:r>
          </w:p>
        </w:tc>
      </w:tr>
      <w:tr w:rsidR="00472A7F" w:rsidRPr="00503687" w:rsidTr="00472A7F"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D50CF9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210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0.74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0.54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0.41</w:t>
            </w:r>
          </w:p>
        </w:tc>
      </w:tr>
      <w:tr w:rsidR="00472A7F" w:rsidRPr="00503687" w:rsidTr="00472A7F"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TATRA Friction Tester Vehicle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210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65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0.76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0.57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0.48</w:t>
            </w:r>
          </w:p>
        </w:tc>
      </w:tr>
      <w:tr w:rsidR="00472A7F" w:rsidRPr="00503687" w:rsidTr="00472A7F"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D50CF9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210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0.67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0.52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0.42</w:t>
            </w:r>
          </w:p>
        </w:tc>
      </w:tr>
      <w:tr w:rsidR="00472A7F" w:rsidRPr="00503687" w:rsidTr="00472A7F"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 xml:space="preserve">Przyczepa </w:t>
            </w:r>
            <w:r w:rsidRPr="00472A7F">
              <w:t>GripTester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C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140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65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0.74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0.53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0.43</w:t>
            </w:r>
          </w:p>
        </w:tc>
      </w:tr>
      <w:tr w:rsidR="00472A7F" w:rsidRPr="00503687" w:rsidTr="00472A7F">
        <w:trPr>
          <w:trHeight w:val="376"/>
        </w:trPr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2A7F" w:rsidRPr="00D50CF9" w:rsidRDefault="00472A7F" w:rsidP="00472A7F">
            <w:pPr>
              <w:pStyle w:val="TEKSTwTABELIWYRODKOWANYtekstwyrodkowanywpoziomie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C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1.0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0.64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0.36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72A7F" w:rsidRPr="00472A7F" w:rsidRDefault="00472A7F" w:rsidP="00472A7F">
            <w:pPr>
              <w:pStyle w:val="TEKSTwTABELIWYRODKOWANYtekstwyrodkowanywpoziomie"/>
            </w:pPr>
            <w:r w:rsidRPr="00D50CF9">
              <w:t>0.24</w:t>
            </w:r>
          </w:p>
        </w:tc>
      </w:tr>
    </w:tbl>
    <w:p w:rsidR="00D50CF9" w:rsidRPr="00D50CF9" w:rsidRDefault="00D50CF9" w:rsidP="00D50CF9"/>
    <w:p w:rsidR="004C4E9E" w:rsidRDefault="004C4E9E" w:rsidP="004C4E9E">
      <w:pPr>
        <w:pStyle w:val="TYTDZPRZEDMprzedmiotregulacjitytuulubdziau"/>
      </w:pPr>
      <w:r w:rsidRPr="00564140">
        <w:lastRenderedPageBreak/>
        <w:t>Uzasadnienie</w:t>
      </w:r>
    </w:p>
    <w:p w:rsidR="004C4E9E" w:rsidRPr="004C4E9E" w:rsidRDefault="004C4E9E" w:rsidP="004C4E9E">
      <w:pPr>
        <w:pStyle w:val="NIEARTTEKSTtekstnieartykuowanynppodstprawnarozplubpreambua"/>
      </w:pPr>
    </w:p>
    <w:p w:rsidR="004C4E9E" w:rsidRPr="004C4E9E" w:rsidRDefault="00BF5C3E" w:rsidP="000829BD">
      <w:pPr>
        <w:pStyle w:val="NIEARTTEKSTtekstnieartykuowanynppodstprawnarozplubpreambua"/>
        <w:ind w:firstLine="0"/>
        <w:rPr>
          <w:rStyle w:val="Ppogrubienie"/>
          <w:rFonts w:eastAsiaTheme="minorHAnsi" w:cstheme="minorBidi"/>
          <w:kern w:val="24"/>
          <w:szCs w:val="22"/>
          <w:lang w:eastAsia="en-US"/>
        </w:rPr>
      </w:pPr>
      <w:r>
        <w:rPr>
          <w:rStyle w:val="Ppogrubienie"/>
        </w:rPr>
        <w:t>I.</w:t>
      </w:r>
      <w:r w:rsidR="004C4E9E" w:rsidRPr="004C4E9E">
        <w:rPr>
          <w:rStyle w:val="Ppogrubienie"/>
        </w:rPr>
        <w:tab/>
        <w:t xml:space="preserve">Wyjaśnienie potrzeby i celu </w:t>
      </w:r>
      <w:r w:rsidR="009D1B81">
        <w:rPr>
          <w:rStyle w:val="Ppogrubienie"/>
        </w:rPr>
        <w:t>wydania</w:t>
      </w:r>
      <w:r w:rsidR="009D1B81" w:rsidRPr="004C4E9E">
        <w:rPr>
          <w:rStyle w:val="Ppogrubienie"/>
        </w:rPr>
        <w:t xml:space="preserve"> </w:t>
      </w:r>
      <w:r w:rsidR="004C4E9E" w:rsidRPr="004C4E9E">
        <w:rPr>
          <w:rStyle w:val="Ppogrubienie"/>
        </w:rPr>
        <w:t>rozporządzenia</w:t>
      </w:r>
    </w:p>
    <w:p w:rsidR="004C4E9E" w:rsidRPr="004C4E9E" w:rsidRDefault="006679B0" w:rsidP="000829BD">
      <w:pPr>
        <w:pStyle w:val="NIEARTTEKSTtekstnieartykuowanynppodstprawnarozplubpreambua"/>
        <w:ind w:firstLine="0"/>
      </w:pPr>
      <w:r>
        <w:t xml:space="preserve">Ustawą </w:t>
      </w:r>
      <w:r w:rsidR="00BF5C3E">
        <w:t>z dnia 14 grudnia 2018 r. o zmianie u</w:t>
      </w:r>
      <w:r w:rsidR="004C4E9E" w:rsidRPr="00564140">
        <w:rPr>
          <w:szCs w:val="22"/>
        </w:rPr>
        <w:t xml:space="preserve">stawy </w:t>
      </w:r>
      <w:r w:rsidR="00BF5C3E" w:rsidRPr="00BF5C3E">
        <w:t>−</w:t>
      </w:r>
      <w:r w:rsidR="00BF5C3E">
        <w:t xml:space="preserve"> </w:t>
      </w:r>
      <w:r w:rsidR="004C4E9E" w:rsidRPr="004C4E9E">
        <w:t>Prawo lotnicze</w:t>
      </w:r>
      <w:r w:rsidR="009D1B81">
        <w:t xml:space="preserve"> oraz niektórych innych ustaw</w:t>
      </w:r>
      <w:r w:rsidR="004C4E9E" w:rsidRPr="004C4E9E">
        <w:t xml:space="preserve"> </w:t>
      </w:r>
      <w:r w:rsidR="00BF5C3E">
        <w:t xml:space="preserve">(Dz. U. z 2019 r. poz. </w:t>
      </w:r>
      <w:r w:rsidR="00F40711">
        <w:t>235</w:t>
      </w:r>
      <w:r w:rsidR="00BF5C3E">
        <w:t xml:space="preserve">) </w:t>
      </w:r>
      <w:r>
        <w:t xml:space="preserve">wprowadzono do </w:t>
      </w:r>
      <w:r w:rsidR="00BF5C3E">
        <w:t xml:space="preserve">ustawy z dnia 3 lipca 2002 r. </w:t>
      </w:r>
      <w:r w:rsidR="00BF5C3E" w:rsidRPr="00BF5C3E">
        <w:t>−</w:t>
      </w:r>
      <w:r w:rsidR="00BF5C3E">
        <w:t xml:space="preserve"> Prawo lotnicze (Dz. U. z 2018 r. poz. 1183, z późn. zm.)</w:t>
      </w:r>
      <w:r w:rsidR="00F30434">
        <w:t xml:space="preserve">, zwanej dalej </w:t>
      </w:r>
      <w:r w:rsidR="00F30434" w:rsidRPr="00F30434">
        <w:t>„</w:t>
      </w:r>
      <w:r w:rsidR="00BF5C3E">
        <w:t xml:space="preserve">ustawą </w:t>
      </w:r>
      <w:r w:rsidR="00F30434" w:rsidRPr="00F30434">
        <w:t>−</w:t>
      </w:r>
      <w:r w:rsidR="00BF5C3E">
        <w:t xml:space="preserve"> Prawo lotnicze</w:t>
      </w:r>
      <w:r w:rsidR="00F30434" w:rsidRPr="00F30434">
        <w:t>”</w:t>
      </w:r>
      <w:r w:rsidR="00BF5C3E">
        <w:t>,</w:t>
      </w:r>
      <w:r w:rsidR="004C4E9E" w:rsidRPr="004C4E9E">
        <w:t xml:space="preserve"> </w:t>
      </w:r>
      <w:r>
        <w:t xml:space="preserve">zmiany służące </w:t>
      </w:r>
      <w:r w:rsidRPr="004C4E9E">
        <w:t>dostosowani</w:t>
      </w:r>
      <w:r>
        <w:t xml:space="preserve">u jej przepisów </w:t>
      </w:r>
      <w:r w:rsidR="004C4E9E" w:rsidRPr="004C4E9E">
        <w:t xml:space="preserve">do przepisów Unii Europejskiej, w tym </w:t>
      </w:r>
      <w:bookmarkStart w:id="1" w:name="_Toc383160851"/>
      <w:r w:rsidR="004C4E9E" w:rsidRPr="004C4E9E">
        <w:t>do rozporządzenia Komisji (UE) nr 139/2014</w:t>
      </w:r>
      <w:bookmarkEnd w:id="1"/>
      <w:r w:rsidR="004C4E9E" w:rsidRPr="004C4E9E">
        <w:t xml:space="preserve"> z dnia 12 lutego 2014 r. ustanawiającego wymagania oraz procedury administracyjne dotyczące lotnisk zgodnie z rozporządzeniem Parlamentu Europejskiego i Rady (WE) nr 216/2008</w:t>
      </w:r>
      <w:r w:rsidR="00BF5C3E">
        <w:t xml:space="preserve"> (Dz. Urz. UE L 44 z 14.02.2014, str. 1)</w:t>
      </w:r>
      <w:r w:rsidR="004C4E9E" w:rsidRPr="004C4E9E">
        <w:t xml:space="preserve">, </w:t>
      </w:r>
      <w:r w:rsidR="00F30434">
        <w:t>zwane</w:t>
      </w:r>
      <w:r>
        <w:t>go</w:t>
      </w:r>
      <w:r w:rsidR="00F30434">
        <w:t xml:space="preserve"> dalej </w:t>
      </w:r>
      <w:r w:rsidR="00F30434" w:rsidRPr="00F30434">
        <w:t>„</w:t>
      </w:r>
      <w:r w:rsidR="00F30434">
        <w:t>rozporządzeniem nr 139/2014/UE</w:t>
      </w:r>
      <w:r w:rsidR="00F30434" w:rsidRPr="00F30434">
        <w:t>”</w:t>
      </w:r>
      <w:r>
        <w:t>. Wskutek wprowadzonych</w:t>
      </w:r>
      <w:r w:rsidRPr="006679B0">
        <w:t xml:space="preserve"> </w:t>
      </w:r>
      <w:r>
        <w:t>zmian</w:t>
      </w:r>
      <w:r w:rsidRPr="006679B0">
        <w:t xml:space="preserve"> </w:t>
      </w:r>
      <w:r>
        <w:t xml:space="preserve">konieczna jest </w:t>
      </w:r>
      <w:r w:rsidRPr="004C4E9E">
        <w:t>nowelizacj</w:t>
      </w:r>
      <w:r>
        <w:t>a</w:t>
      </w:r>
      <w:r w:rsidRPr="004C4E9E">
        <w:t xml:space="preserve"> </w:t>
      </w:r>
      <w:r w:rsidR="004A2C9D">
        <w:t xml:space="preserve">niektórych oraz </w:t>
      </w:r>
      <w:r>
        <w:t xml:space="preserve">wydanie nowych aktów wykonawczych do </w:t>
      </w:r>
      <w:r w:rsidRPr="006679B0">
        <w:t>ustaw</w:t>
      </w:r>
      <w:r>
        <w:t>y</w:t>
      </w:r>
      <w:r w:rsidRPr="006679B0">
        <w:t xml:space="preserve"> − Prawo lotnicze</w:t>
      </w:r>
      <w:r>
        <w:t xml:space="preserve">. 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 w:rsidRPr="00564140">
        <w:rPr>
          <w:szCs w:val="22"/>
        </w:rPr>
        <w:t xml:space="preserve">W związku ze zmianą </w:t>
      </w:r>
      <w:r w:rsidR="006679B0">
        <w:t xml:space="preserve">brzmienia </w:t>
      </w:r>
      <w:r w:rsidRPr="00564140">
        <w:rPr>
          <w:szCs w:val="22"/>
        </w:rPr>
        <w:t xml:space="preserve">art. 59a ust. 1 </w:t>
      </w:r>
      <w:r w:rsidR="00DC1E7E">
        <w:t xml:space="preserve">ustawy </w:t>
      </w:r>
      <w:r w:rsidR="00DC1E7E" w:rsidRPr="00DC1E7E">
        <w:t xml:space="preserve">− Prawo lotnicze </w:t>
      </w:r>
      <w:r w:rsidR="00BF5C3E">
        <w:t>oraz</w:t>
      </w:r>
      <w:r w:rsidRPr="004C4E9E">
        <w:t xml:space="preserve"> zmianą upoważnienia ustawowego zawartego w art. 59a ust. 5</w:t>
      </w:r>
      <w:r w:rsidR="00DC1E7E">
        <w:t xml:space="preserve"> tej ustawy, niezbędne jest </w:t>
      </w:r>
      <w:r w:rsidRPr="004C4E9E">
        <w:t>wyda</w:t>
      </w:r>
      <w:r w:rsidR="00BF5C3E">
        <w:t>ni</w:t>
      </w:r>
      <w:r w:rsidR="00DC1E7E">
        <w:t>e</w:t>
      </w:r>
      <w:r w:rsidRPr="004C4E9E">
        <w:t xml:space="preserve"> nowe</w:t>
      </w:r>
      <w:r w:rsidR="00BF5C3E">
        <w:t>go</w:t>
      </w:r>
      <w:r w:rsidRPr="004C4E9E">
        <w:t xml:space="preserve"> </w:t>
      </w:r>
      <w:r w:rsidR="0000427E" w:rsidRPr="004C4E9E">
        <w:t>rozporządzeni</w:t>
      </w:r>
      <w:r w:rsidR="0000427E">
        <w:t xml:space="preserve">a, którego podstawę prawną stanowi ww. </w:t>
      </w:r>
      <w:r w:rsidRPr="004C4E9E">
        <w:t xml:space="preserve">artykuł. 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 w:rsidRPr="00564140">
        <w:rPr>
          <w:szCs w:val="22"/>
        </w:rPr>
        <w:t>Zakres</w:t>
      </w:r>
      <w:r w:rsidRPr="004C4E9E">
        <w:t xml:space="preserve"> </w:t>
      </w:r>
      <w:r w:rsidR="0000427E">
        <w:t xml:space="preserve">projektowanego </w:t>
      </w:r>
      <w:r w:rsidRPr="004C4E9E">
        <w:t xml:space="preserve">rozporządzenia, w odniesieniu do obecnie obowiązującego rozporządzenia </w:t>
      </w:r>
      <w:r w:rsidR="0000427E">
        <w:t xml:space="preserve">Ministra Infrastruktury z dnia 13 sierpnia 2018 r. w sprawie wymagań technicznych i eksploatacyjnych dla lotnisk użytku publicznego podlegających </w:t>
      </w:r>
      <w:r w:rsidR="00297D69">
        <w:t xml:space="preserve">obowiązkowi </w:t>
      </w:r>
      <w:r w:rsidR="0000427E">
        <w:t>certyfikacji (Dz. U. poz. 1661)</w:t>
      </w:r>
      <w:r w:rsidR="004C5AEE" w:rsidRPr="004C5AEE">
        <w:t xml:space="preserve"> </w:t>
      </w:r>
      <w:r w:rsidRPr="004C4E9E">
        <w:t>zmienia się, gdyż zgodnie z</w:t>
      </w:r>
      <w:r w:rsidR="00712061">
        <w:t xml:space="preserve">e zmienionym </w:t>
      </w:r>
      <w:r w:rsidRPr="004C4E9E">
        <w:t xml:space="preserve"> art. 59a ust. 1 pkt 2 ustawy </w:t>
      </w:r>
      <w:r w:rsidR="00BF5C3E" w:rsidRPr="00BF5C3E">
        <w:t>−</w:t>
      </w:r>
      <w:r w:rsidR="00BF5C3E">
        <w:t xml:space="preserve"> </w:t>
      </w:r>
      <w:r w:rsidRPr="004C4E9E">
        <w:t>Prawo lotnicze, rozporządzenie ma określać wymagania techniczne i eksploatacyjne dla</w:t>
      </w:r>
      <w:r w:rsidR="000645FB" w:rsidRPr="000645FB">
        <w:t xml:space="preserve"> lotnisk</w:t>
      </w:r>
      <w:r w:rsidR="000645FB">
        <w:t xml:space="preserve"> użytku publicznego</w:t>
      </w:r>
      <w:r w:rsidRPr="004C4E9E">
        <w:t>: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 w:rsidRPr="00564140">
        <w:rPr>
          <w:szCs w:val="22"/>
        </w:rPr>
        <w:t>1)</w:t>
      </w:r>
      <w:r w:rsidRPr="00564140">
        <w:rPr>
          <w:szCs w:val="22"/>
        </w:rPr>
        <w:tab/>
        <w:t>które uzyskały zwolnienie z konieczności stosowania wymagań UE</w:t>
      </w:r>
      <w:r w:rsidRPr="004C4E9E">
        <w:t>;</w:t>
      </w:r>
    </w:p>
    <w:p w:rsidR="004C4E9E" w:rsidRDefault="004C4E9E" w:rsidP="000829BD">
      <w:pPr>
        <w:pStyle w:val="NIEARTTEKSTtekstnieartykuowanynppodstprawnarozplubpreambua"/>
        <w:ind w:firstLine="0"/>
      </w:pPr>
      <w:r w:rsidRPr="00564140">
        <w:rPr>
          <w:szCs w:val="22"/>
        </w:rPr>
        <w:t>2)</w:t>
      </w:r>
      <w:r w:rsidRPr="00564140">
        <w:rPr>
          <w:szCs w:val="22"/>
        </w:rPr>
        <w:tab/>
        <w:t>dla śmigłowców</w:t>
      </w:r>
      <w:r w:rsidR="000645FB">
        <w:t>,</w:t>
      </w:r>
      <w:r w:rsidRPr="00564140">
        <w:rPr>
          <w:szCs w:val="22"/>
        </w:rPr>
        <w:t xml:space="preserve"> objętych wymaganiami UE.</w:t>
      </w:r>
    </w:p>
    <w:p w:rsidR="004C4E9E" w:rsidRPr="004C4E9E" w:rsidRDefault="00BF5C3E" w:rsidP="000829BD">
      <w:pPr>
        <w:pStyle w:val="NIEARTTEKSTtekstnieartykuowanynppodstprawnarozplubpreambua"/>
        <w:ind w:firstLine="0"/>
        <w:rPr>
          <w:rStyle w:val="Ppogrubienie"/>
          <w:rFonts w:eastAsiaTheme="minorHAnsi" w:cstheme="minorBidi"/>
          <w:kern w:val="24"/>
          <w:szCs w:val="22"/>
          <w:lang w:eastAsia="en-US"/>
        </w:rPr>
      </w:pPr>
      <w:r>
        <w:rPr>
          <w:rStyle w:val="Ppogrubienie"/>
        </w:rPr>
        <w:t>II.</w:t>
      </w:r>
      <w:r w:rsidR="004C4E9E" w:rsidRPr="004C4E9E">
        <w:rPr>
          <w:rStyle w:val="Ppogrubienie"/>
        </w:rPr>
        <w:tab/>
        <w:t>Przedstawienie rzeczywistego (faktycznego) stanu w dziedzinie, która ma zostać uregulowana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 w:rsidRPr="00564140">
        <w:rPr>
          <w:szCs w:val="22"/>
        </w:rPr>
        <w:t xml:space="preserve">Rozporządzenie </w:t>
      </w:r>
      <w:r w:rsidR="00E33FF6" w:rsidRPr="00564140">
        <w:rPr>
          <w:szCs w:val="22"/>
        </w:rPr>
        <w:t>Parlament</w:t>
      </w:r>
      <w:r w:rsidR="00E33FF6">
        <w:t>u</w:t>
      </w:r>
      <w:r w:rsidR="00E33FF6" w:rsidRPr="00564140">
        <w:rPr>
          <w:szCs w:val="22"/>
        </w:rPr>
        <w:t xml:space="preserve"> </w:t>
      </w:r>
      <w:r w:rsidRPr="00564140">
        <w:rPr>
          <w:szCs w:val="22"/>
        </w:rPr>
        <w:t xml:space="preserve">Europejskiego i Rady (UE) 2018/1139 z dnia 4 lipca 2018 r. </w:t>
      </w:r>
      <w:r w:rsidRPr="004C4E9E">
        <w:t xml:space="preserve">w sprawie wspólnych zasad w dziedzinie lotnictwa cywilnego i utworzenia Agencji Unii Europejskiej ds. Bezpieczeństwa Lotniczego oraz zmieniające rozporządzenia Parlamentu Europejskiego i Rady (WE) nr 2111/2005, (WE) nr 1008/2008, (UE) nr 996/2010, (UE) nr </w:t>
      </w:r>
      <w:r w:rsidRPr="004C4E9E">
        <w:lastRenderedPageBreak/>
        <w:t>376/2014 i dyrektywy Parlamentu Europejskiego i Rady 2014/30/UE i 2014/53/UE, a także uchylające rozporządzenia Parlamentu Europejskiego i Rady (WE) nr 552/2004 i (WE) nr 216/2008 i rozporządzenie Rady (EWG) nr 3922/91</w:t>
      </w:r>
      <w:r w:rsidR="00BF5C3E">
        <w:t xml:space="preserve"> (Dz. Urz. UE L 212 z 22.08.2018, str. 1)</w:t>
      </w:r>
      <w:r w:rsidR="00E33FF6">
        <w:t xml:space="preserve">, zwane dalej </w:t>
      </w:r>
      <w:r w:rsidR="00E33FF6" w:rsidRPr="00E33FF6">
        <w:t xml:space="preserve">„rozporządzeniem nr </w:t>
      </w:r>
      <w:r w:rsidR="00E33FF6">
        <w:t>2018/1139</w:t>
      </w:r>
      <w:r w:rsidR="00E33FF6" w:rsidRPr="00E33FF6">
        <w:t>/UE”</w:t>
      </w:r>
      <w:r w:rsidRPr="004C4E9E">
        <w:t>, analogicznie do uchylonego</w:t>
      </w:r>
      <w:r w:rsidR="00F30434">
        <w:t xml:space="preserve"> r</w:t>
      </w:r>
      <w:r w:rsidR="00F30434" w:rsidRPr="00F30434">
        <w:t>ozporządzenia Parlamentu Europejskiego i Rady (WE) nr 216/2008 z dnia 20 lutego 2008 r. w sprawie wspólnych zasad w zakresie lotnictwa cywilnego i utworzenia Europejskiej Agencji Bezpieczeństwa Lotniczego oraz uchylającego dyrektywę Rady 91/670/EWG, rozporządzenie (WE) nr 1592/2002 i dyrektywę 2004/36/WE (Dz.</w:t>
      </w:r>
      <w:r w:rsidR="00F30434">
        <w:t xml:space="preserve"> </w:t>
      </w:r>
      <w:r w:rsidR="00F30434" w:rsidRPr="00F30434">
        <w:t>Urz. UE L 79 z 19.03.2008, str. 1, z późn. zm.</w:t>
      </w:r>
      <w:r w:rsidR="00F30434">
        <w:t>)</w:t>
      </w:r>
      <w:r w:rsidR="00E33FF6">
        <w:t xml:space="preserve">, zwanego dalej </w:t>
      </w:r>
      <w:r w:rsidR="00E33FF6" w:rsidRPr="00E33FF6">
        <w:t>„</w:t>
      </w:r>
      <w:r w:rsidR="00E33FF6">
        <w:t>rozporządzeniem nr 216/2008/WE</w:t>
      </w:r>
      <w:r w:rsidR="00E33FF6" w:rsidRPr="00E33FF6">
        <w:t>”</w:t>
      </w:r>
      <w:r w:rsidR="00F30434">
        <w:t>,</w:t>
      </w:r>
      <w:r w:rsidRPr="004C4E9E">
        <w:t xml:space="preserve"> przewiduj</w:t>
      </w:r>
      <w:r w:rsidR="00F30434">
        <w:t>e</w:t>
      </w:r>
      <w:r w:rsidRPr="004C4E9E">
        <w:t xml:space="preserve"> w art. 2 ust. 7 możliwość przyznania lotniskom zwolnień </w:t>
      </w:r>
      <w:r w:rsidR="00297D69">
        <w:t>ze</w:t>
      </w:r>
      <w:r w:rsidR="00297D69" w:rsidRPr="004C4E9E">
        <w:t xml:space="preserve"> </w:t>
      </w:r>
      <w:r w:rsidRPr="004C4E9E">
        <w:t xml:space="preserve">stosowania przepisów UE. Tym samym istnieje potrzeba wskazania, w przypadku lotnisk </w:t>
      </w:r>
      <w:r w:rsidR="00AB017B">
        <w:t>użytku publicznego</w:t>
      </w:r>
      <w:r w:rsidRPr="004C4E9E">
        <w:t xml:space="preserve">, wymagań technicznych i eksploatacyjnych dla lotnisk, które </w:t>
      </w:r>
      <w:r w:rsidR="00641A3F" w:rsidRPr="004C4E9E">
        <w:t>są</w:t>
      </w:r>
      <w:r w:rsidR="00641A3F" w:rsidRPr="00641A3F">
        <w:t xml:space="preserve"> </w:t>
      </w:r>
      <w:r w:rsidRPr="004C4E9E">
        <w:t>objęte wymaganiami UE</w:t>
      </w:r>
      <w:r w:rsidR="00F30434">
        <w:t>,</w:t>
      </w:r>
      <w:r w:rsidRPr="004C4E9E">
        <w:t xml:space="preserve"> ale w związku z przyznanym zwolnieniem nie muszą spełniać opisanych w przepisach UE wymagań. Inna sytuacja przedstawia się w odniesieniu do lotnisk </w:t>
      </w:r>
      <w:r w:rsidR="00AB017B">
        <w:t>obsługujących wyłącznie</w:t>
      </w:r>
      <w:r w:rsidRPr="004C4E9E">
        <w:t xml:space="preserve"> śmigłowc</w:t>
      </w:r>
      <w:r w:rsidR="00AB017B">
        <w:t>e</w:t>
      </w:r>
      <w:r w:rsidRPr="004C4E9E">
        <w:t xml:space="preserve">. O ile w przypadku lotnisk dla samolotów wymagania określa rozporządzenie nr 139/2014/UE, to w przypadku lotnisk dla śmigłowców </w:t>
      </w:r>
      <w:r w:rsidR="00AB017B" w:rsidRPr="00AB017B">
        <w:t>–</w:t>
      </w:r>
      <w:r w:rsidR="00AB017B">
        <w:t xml:space="preserve"> </w:t>
      </w:r>
      <w:r w:rsidRPr="004C4E9E">
        <w:t xml:space="preserve">UE nie określiła jeszcze wymagań. </w:t>
      </w:r>
      <w:r w:rsidR="00A36F3F">
        <w:t>K</w:t>
      </w:r>
      <w:r w:rsidR="00780DEB" w:rsidRPr="004C4E9E">
        <w:t>onieczn</w:t>
      </w:r>
      <w:r w:rsidR="00780DEB">
        <w:t>e</w:t>
      </w:r>
      <w:r w:rsidR="0000524F">
        <w:t xml:space="preserve"> jest</w:t>
      </w:r>
      <w:r w:rsidR="00A36F3F">
        <w:t xml:space="preserve"> zatem</w:t>
      </w:r>
      <w:r w:rsidR="00780DEB" w:rsidRPr="004C4E9E">
        <w:t xml:space="preserve"> </w:t>
      </w:r>
      <w:r w:rsidR="0000524F" w:rsidRPr="004C4E9E">
        <w:t>uregulowani</w:t>
      </w:r>
      <w:r w:rsidR="0000524F">
        <w:t>e</w:t>
      </w:r>
      <w:r w:rsidR="0000524F" w:rsidRPr="004C4E9E">
        <w:t xml:space="preserve"> </w:t>
      </w:r>
      <w:r w:rsidRPr="004C4E9E">
        <w:t>takich wymagań na poziomie przepisów krajowych.</w:t>
      </w:r>
    </w:p>
    <w:p w:rsidR="004C4E9E" w:rsidRPr="004C4E9E" w:rsidRDefault="0000524F" w:rsidP="000829BD">
      <w:pPr>
        <w:pStyle w:val="NIEARTTEKSTtekstnieartykuowanynppodstprawnarozplubpreambua"/>
        <w:ind w:firstLine="0"/>
      </w:pPr>
      <w:r>
        <w:t>Projektowane</w:t>
      </w:r>
      <w:r w:rsidRPr="00564140">
        <w:rPr>
          <w:szCs w:val="22"/>
        </w:rPr>
        <w:t xml:space="preserve"> </w:t>
      </w:r>
      <w:r w:rsidR="004C4E9E" w:rsidRPr="00564140">
        <w:rPr>
          <w:szCs w:val="22"/>
        </w:rPr>
        <w:t xml:space="preserve">rozporządzenie wdraża do krajowego systemu prawnego większość wymagań Załącznika 14 </w:t>
      </w:r>
      <w:r w:rsidR="006617D9">
        <w:t xml:space="preserve">do </w:t>
      </w:r>
      <w:r w:rsidR="006617D9" w:rsidRPr="006617D9">
        <w:t>Konwencji o międzynarodowym lotnictwie cywilnym, sporządzonej w Chicago dnia 7 grudnia 1944 r. (Dz. U. z 1959 r. poz. 212</w:t>
      </w:r>
      <w:r w:rsidR="008E4D5C">
        <w:t xml:space="preserve"> i 214</w:t>
      </w:r>
      <w:r w:rsidR="006617D9" w:rsidRPr="006617D9">
        <w:t>, z późn. zm.)</w:t>
      </w:r>
      <w:r w:rsidR="006617D9">
        <w:t xml:space="preserve">, zwanej dalej „Konwencją”, </w:t>
      </w:r>
      <w:r w:rsidR="004C4E9E" w:rsidRPr="00564140">
        <w:rPr>
          <w:szCs w:val="22"/>
        </w:rPr>
        <w:t xml:space="preserve">tom I „Projektowanie i eksploatacja lotnisk” wydanie siódme z lipca </w:t>
      </w:r>
      <w:r w:rsidR="004C4E9E" w:rsidRPr="004C4E9E">
        <w:t xml:space="preserve">2016 r. obejmujące zmiany do </w:t>
      </w:r>
      <w:r w:rsidR="00A4565F">
        <w:t xml:space="preserve">zmiany nr </w:t>
      </w:r>
      <w:r w:rsidR="004C4E9E" w:rsidRPr="004C4E9E">
        <w:t xml:space="preserve">13A włącznie i zmianę </w:t>
      </w:r>
      <w:r w:rsidR="00A4565F">
        <w:t xml:space="preserve">nr </w:t>
      </w:r>
      <w:r w:rsidR="004C4E9E" w:rsidRPr="004C4E9E">
        <w:t xml:space="preserve">14, która </w:t>
      </w:r>
      <w:r w:rsidR="00885829">
        <w:t>weszła</w:t>
      </w:r>
      <w:r w:rsidR="00885829" w:rsidRPr="004C4E9E">
        <w:t xml:space="preserve"> </w:t>
      </w:r>
      <w:r w:rsidR="004C4E9E" w:rsidRPr="004C4E9E">
        <w:t>w życie w dniu 8 listopada 2018</w:t>
      </w:r>
      <w:r w:rsidR="00885829">
        <w:t xml:space="preserve"> r.</w:t>
      </w:r>
      <w:r w:rsidR="006A7ECD">
        <w:t>,</w:t>
      </w:r>
      <w:r w:rsidR="004C4E9E" w:rsidRPr="004C4E9E">
        <w:t xml:space="preserve"> oraz tom II „Lotniska dla śmigłowców” w</w:t>
      </w:r>
      <w:r w:rsidR="004C4E9E" w:rsidRPr="004C4E9E" w:rsidDel="008704D9">
        <w:t>ydanie czwarte</w:t>
      </w:r>
      <w:r w:rsidR="004C4E9E" w:rsidRPr="004C4E9E">
        <w:t xml:space="preserve"> z lipca</w:t>
      </w:r>
      <w:r w:rsidR="004C4E9E" w:rsidRPr="004C4E9E" w:rsidDel="008704D9">
        <w:t xml:space="preserve"> 2013</w:t>
      </w:r>
      <w:r w:rsidR="004C4E9E" w:rsidRPr="004C4E9E">
        <w:t xml:space="preserve"> r. obejmujące zmiany do zmiany nr 8 włącznie, która </w:t>
      </w:r>
      <w:r w:rsidR="006617D9">
        <w:t>weszła</w:t>
      </w:r>
      <w:r w:rsidR="004C4E9E" w:rsidRPr="004C4E9E">
        <w:t xml:space="preserve"> w życie w dniu 8 listopada 2018 r. </w:t>
      </w:r>
      <w:r w:rsidR="001E3643">
        <w:t>W odniesieniu do zakresu merytorycznego, p</w:t>
      </w:r>
      <w:r w:rsidR="00885829">
        <w:t>rojektowane</w:t>
      </w:r>
      <w:r w:rsidR="001D6E39">
        <w:t xml:space="preserve"> </w:t>
      </w:r>
      <w:r w:rsidR="00885829" w:rsidRPr="004C4E9E">
        <w:t>rozporządzeni</w:t>
      </w:r>
      <w:r w:rsidR="00885829">
        <w:t>e</w:t>
      </w:r>
      <w:r w:rsidR="004C4E9E" w:rsidRPr="004C4E9E">
        <w:t xml:space="preserve"> implementuje przede wszystkim wymagania Załącznika 14 </w:t>
      </w:r>
      <w:r w:rsidR="006617D9">
        <w:t>do Konwencji</w:t>
      </w:r>
      <w:r w:rsidR="006617D9" w:rsidRPr="004C4E9E">
        <w:t xml:space="preserve"> </w:t>
      </w:r>
      <w:r w:rsidR="004C4E9E" w:rsidRPr="004C4E9E">
        <w:t>dotyczące infrastruktury lotniskowej, tj.: dróg startowych, dróg kołowania i płyt postojowych, wzrokowych pomocy nawigacyjnych i systemów zasilania oraz danych lotniczych podlegających publikacji w Zbiorze Informacji Lotniczych AIP – Polska.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 w:rsidRPr="00564140">
        <w:rPr>
          <w:szCs w:val="22"/>
        </w:rPr>
        <w:t xml:space="preserve">Wymóg implementacji Załącznika 14 </w:t>
      </w:r>
      <w:r w:rsidR="006617D9">
        <w:t xml:space="preserve">do Konwencji </w:t>
      </w:r>
      <w:r w:rsidRPr="00564140">
        <w:rPr>
          <w:szCs w:val="22"/>
        </w:rPr>
        <w:t xml:space="preserve">wynika ze statusu prawnego załączników do Konwencji. Z analizy relacji załączników </w:t>
      </w:r>
      <w:r w:rsidR="006617D9">
        <w:t xml:space="preserve">do Konwencji </w:t>
      </w:r>
      <w:r w:rsidRPr="00564140">
        <w:rPr>
          <w:szCs w:val="22"/>
        </w:rPr>
        <w:t xml:space="preserve">do przepisów krajowych, a w szczególności Konstytucji RP wynika, że nie może być do nich zastosowany </w:t>
      </w:r>
      <w:r w:rsidRPr="00564140">
        <w:rPr>
          <w:szCs w:val="22"/>
        </w:rPr>
        <w:lastRenderedPageBreak/>
        <w:t>przepis art. 91 ust. 3 Konstytucji RP stanowiący, iż jeżeli wynika to z ratyfikowanej przez Rzeczpospolitą Polską umowy konstytuującej organizację międzynarodową, prawo przez nią stanowione jest stosowane bezpośrednio, mając pierwszeństwo w przypadku kolizji z ustawami. Załączniki do Konwencji są bowiem pod względem charakteru prawnego uchwałami organizacji międzynarodowej</w:t>
      </w:r>
      <w:r w:rsidR="000F1B6A">
        <w:t xml:space="preserve"> (</w:t>
      </w:r>
      <w:r w:rsidR="000F1B6A" w:rsidRPr="000F1B6A">
        <w:t>Organizacj</w:t>
      </w:r>
      <w:r w:rsidR="000F1B6A">
        <w:t>i</w:t>
      </w:r>
      <w:r w:rsidR="000F1B6A" w:rsidRPr="000F1B6A">
        <w:t xml:space="preserve"> Międzynarodowego Lotnictwa Cywilnego</w:t>
      </w:r>
      <w:r w:rsidR="000F1B6A">
        <w:t xml:space="preserve"> </w:t>
      </w:r>
      <w:r w:rsidR="008F4531" w:rsidRPr="008F4531">
        <w:t>–</w:t>
      </w:r>
      <w:r w:rsidR="000F1B6A">
        <w:t xml:space="preserve"> ICAO)</w:t>
      </w:r>
      <w:r w:rsidRPr="00564140">
        <w:rPr>
          <w:szCs w:val="22"/>
        </w:rPr>
        <w:t xml:space="preserve">. Z art. 37 Konwencji wynika zaś wyraźnie, że rolą uchwał ICAO jest „ujednolicanie” przepisów poszczególnych państw – stron Konwencji, nie zaś ich zastępowanie. Ponadto art. 38 Konwencji przewiduje wprost konieczność informowania ICAO o różnicach zachodzących między przepisami krajowymi i stosowaną praktyką, a normami międzynarodowymi. W związku z tym, że wobec wyraźnego brzmienia i intencji art. 37 i </w:t>
      </w:r>
      <w:r w:rsidR="000F1B6A">
        <w:t xml:space="preserve">art. </w:t>
      </w:r>
      <w:r w:rsidRPr="00564140">
        <w:rPr>
          <w:szCs w:val="22"/>
        </w:rPr>
        <w:t xml:space="preserve">38 Konwencji, uchwały ICAO nie zawierają norm samowykonalnych – warunkiem ich obowiązywania w krajowym porządku prawnym jest ich wdrożenie stosownym aktem prawa krajowego. W </w:t>
      </w:r>
      <w:r w:rsidR="00DD5B21">
        <w:t xml:space="preserve">projektowanym </w:t>
      </w:r>
      <w:r w:rsidRPr="00564140">
        <w:rPr>
          <w:szCs w:val="22"/>
        </w:rPr>
        <w:t xml:space="preserve">rozporządzeniu przyjęto technikę odsyłania do przepisów Załącznika 14 </w:t>
      </w:r>
      <w:r w:rsidR="006617D9">
        <w:t>do Konwencji</w:t>
      </w:r>
      <w:r w:rsidRPr="00564140">
        <w:rPr>
          <w:szCs w:val="22"/>
        </w:rPr>
        <w:t xml:space="preserve">. Metoda odesłań została przyjęta przede wszystkim z uwagi na objętość Załącznika 14, który składa się z dwóch tomów liczących razem ponad 400 stron. 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 w:rsidRPr="00564140">
        <w:rPr>
          <w:szCs w:val="22"/>
        </w:rPr>
        <w:t xml:space="preserve">Wdrożenie Załącznika 14 </w:t>
      </w:r>
      <w:r w:rsidR="006617D9">
        <w:t>do Konwencji</w:t>
      </w:r>
      <w:r w:rsidRPr="00564140">
        <w:rPr>
          <w:szCs w:val="22"/>
        </w:rPr>
        <w:t xml:space="preserve"> rozporządzeniem krajowym wynika również z faktu, że składa się on z norm i zalecanych metod postępowania </w:t>
      </w:r>
      <w:r w:rsidRPr="004C4E9E">
        <w:t xml:space="preserve">(standards and recommended practices </w:t>
      </w:r>
      <w:r w:rsidR="00D326F3" w:rsidRPr="00D326F3">
        <w:t>–</w:t>
      </w:r>
      <w:r w:rsidRPr="004C4E9E">
        <w:t xml:space="preserve"> SARPs) oraz dodatkowych wskazówek merytorycznych. Normy mają charakter obowiązkowy, natomiast </w:t>
      </w:r>
      <w:r w:rsidR="00BB151B" w:rsidRPr="00BB151B">
        <w:t>zalecan</w:t>
      </w:r>
      <w:r w:rsidR="00BB151B">
        <w:t>e</w:t>
      </w:r>
      <w:r w:rsidR="00BB151B" w:rsidRPr="00BB151B">
        <w:t xml:space="preserve"> metod</w:t>
      </w:r>
      <w:r w:rsidR="00BB151B">
        <w:t>y</w:t>
      </w:r>
      <w:r w:rsidR="00BB151B" w:rsidRPr="00BB151B">
        <w:t xml:space="preserve"> postępowania</w:t>
      </w:r>
      <w:r w:rsidRPr="004C4E9E">
        <w:t xml:space="preserve"> i wskazówki merytoryczne nie są obowiązkowe, ale w większości przypadków ich wdrożenie jest konieczne dla zachowania spójności i wartości merytorycznej wdrażanych przepisów. Dlatego odwołanie się w </w:t>
      </w:r>
      <w:r w:rsidR="00DD5B21">
        <w:t>projektowanym</w:t>
      </w:r>
      <w:r w:rsidR="00DD5B21" w:rsidRPr="004C4E9E">
        <w:t xml:space="preserve"> </w:t>
      </w:r>
      <w:r w:rsidRPr="004C4E9E">
        <w:t xml:space="preserve">rozporządzeniu zarówno do norm, jak i </w:t>
      </w:r>
      <w:r w:rsidR="00BB151B" w:rsidRPr="00BB151B">
        <w:t>zalecanych metod postępowania</w:t>
      </w:r>
      <w:r w:rsidRPr="004C4E9E">
        <w:t xml:space="preserve">, „zrównuje” je i czyni przepisami powszechnie obowiązującymi z wyjątkiem tych, które są zasadne i które zostały w nim wyszczególnione. </w:t>
      </w:r>
    </w:p>
    <w:p w:rsidR="004C4E9E" w:rsidRPr="004C4E9E" w:rsidRDefault="0075145D" w:rsidP="000829BD">
      <w:pPr>
        <w:pStyle w:val="NIEARTTEKSTtekstnieartykuowanynppodstprawnarozplubpreambua"/>
        <w:ind w:firstLine="0"/>
        <w:rPr>
          <w:rStyle w:val="Ppogrubienie"/>
          <w:rFonts w:eastAsiaTheme="minorHAnsi" w:cstheme="minorBidi"/>
          <w:kern w:val="24"/>
          <w:szCs w:val="22"/>
          <w:lang w:eastAsia="en-US"/>
        </w:rPr>
      </w:pPr>
      <w:r>
        <w:rPr>
          <w:rStyle w:val="Ppogrubienie"/>
        </w:rPr>
        <w:t>III.</w:t>
      </w:r>
      <w:r w:rsidR="004C4E9E" w:rsidRPr="004C4E9E">
        <w:rPr>
          <w:rStyle w:val="Ppogrubienie"/>
        </w:rPr>
        <w:tab/>
        <w:t>Wskazani</w:t>
      </w:r>
      <w:r w:rsidR="00672401">
        <w:rPr>
          <w:rStyle w:val="Ppogrubienie"/>
        </w:rPr>
        <w:t>e</w:t>
      </w:r>
      <w:r w:rsidR="004C4E9E" w:rsidRPr="004C4E9E">
        <w:rPr>
          <w:rStyle w:val="Ppogrubienie"/>
        </w:rPr>
        <w:t xml:space="preserve"> różnic między dotychczasowym a projektowanym stanem prawnym</w:t>
      </w:r>
    </w:p>
    <w:p w:rsidR="004C4E9E" w:rsidRPr="004C4E9E" w:rsidRDefault="00DD5B21" w:rsidP="000829BD">
      <w:pPr>
        <w:pStyle w:val="NIEARTTEKSTtekstnieartykuowanynppodstprawnarozplubpreambua"/>
        <w:ind w:firstLine="0"/>
      </w:pPr>
      <w:r>
        <w:t>Projektowane</w:t>
      </w:r>
      <w:r w:rsidR="004C4E9E" w:rsidRPr="00564140">
        <w:rPr>
          <w:szCs w:val="22"/>
        </w:rPr>
        <w:t xml:space="preserve"> rozporządzenie </w:t>
      </w:r>
      <w:r w:rsidRPr="00564140">
        <w:rPr>
          <w:szCs w:val="22"/>
        </w:rPr>
        <w:t>wyda</w:t>
      </w:r>
      <w:r>
        <w:t>wane</w:t>
      </w:r>
      <w:r w:rsidRPr="00564140">
        <w:rPr>
          <w:szCs w:val="22"/>
        </w:rPr>
        <w:t xml:space="preserve"> </w:t>
      </w:r>
      <w:r w:rsidR="004C4E9E" w:rsidRPr="00564140">
        <w:rPr>
          <w:szCs w:val="22"/>
        </w:rPr>
        <w:t xml:space="preserve">na podstawie art. 59a ust. 5 </w:t>
      </w:r>
      <w:r w:rsidR="0075145D">
        <w:t xml:space="preserve">ustawy </w:t>
      </w:r>
      <w:r w:rsidR="0075145D" w:rsidRPr="0075145D">
        <w:t>−</w:t>
      </w:r>
      <w:r w:rsidR="0075145D">
        <w:t xml:space="preserve"> Prawo lotnicze </w:t>
      </w:r>
      <w:r w:rsidR="004C4E9E" w:rsidRPr="00564140">
        <w:rPr>
          <w:szCs w:val="22"/>
        </w:rPr>
        <w:t xml:space="preserve">będzie miało zastosowanie </w:t>
      </w:r>
      <w:r w:rsidR="004C4E9E" w:rsidRPr="004C4E9E">
        <w:t>do lotnisk, które na wniosek zarządzającego lotniskiem złożony do Prezesa Urzędu Lotnictw</w:t>
      </w:r>
      <w:r w:rsidR="0075145D">
        <w:t>a Cywilnego</w:t>
      </w:r>
      <w:r>
        <w:t xml:space="preserve">, zwanego dalej </w:t>
      </w:r>
      <w:r w:rsidRPr="00DD5B21">
        <w:t>„</w:t>
      </w:r>
      <w:r>
        <w:t>Prezesem ULC</w:t>
      </w:r>
      <w:r w:rsidRPr="00DD5B21">
        <w:t>”</w:t>
      </w:r>
      <w:r w:rsidR="00BB151B">
        <w:t>,</w:t>
      </w:r>
      <w:r w:rsidR="004C4E9E" w:rsidRPr="004C4E9E">
        <w:t xml:space="preserve"> otrzymały zwolnienie </w:t>
      </w:r>
      <w:r>
        <w:t>ze</w:t>
      </w:r>
      <w:r w:rsidRPr="004C4E9E">
        <w:t xml:space="preserve"> </w:t>
      </w:r>
      <w:r w:rsidR="004C4E9E" w:rsidRPr="004C4E9E">
        <w:t>stosowania wymagań unijnych.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 w:rsidRPr="00564140">
        <w:rPr>
          <w:szCs w:val="22"/>
        </w:rPr>
        <w:t xml:space="preserve">Aktualnie </w:t>
      </w:r>
      <w:r w:rsidR="0026617A" w:rsidRPr="0026617A">
        <w:t xml:space="preserve">w Polsce </w:t>
      </w:r>
      <w:r w:rsidR="00DD5B21">
        <w:t>istnieje</w:t>
      </w:r>
      <w:r w:rsidR="00DD5B21" w:rsidRPr="00564140">
        <w:rPr>
          <w:szCs w:val="22"/>
        </w:rPr>
        <w:t xml:space="preserve"> </w:t>
      </w:r>
      <w:r w:rsidR="00DD5B21" w:rsidRPr="00DD5B21">
        <w:t>tylko jedno lotnisko</w:t>
      </w:r>
      <w:r w:rsidRPr="00564140">
        <w:rPr>
          <w:szCs w:val="22"/>
        </w:rPr>
        <w:t xml:space="preserve">, które posiada </w:t>
      </w:r>
      <w:r w:rsidRPr="004C4E9E">
        <w:t xml:space="preserve">odstępstwo wydane na podstawie art. 4 ust. 3b rozporządzenia nr 216/2008/WE (aktu poprzedzającego </w:t>
      </w:r>
      <w:r w:rsidR="0026617A">
        <w:lastRenderedPageBreak/>
        <w:t>rozporządzenie</w:t>
      </w:r>
      <w:r w:rsidR="0026617A" w:rsidRPr="004C4E9E">
        <w:t xml:space="preserve"> </w:t>
      </w:r>
      <w:r w:rsidRPr="004C4E9E">
        <w:t>nr 2018/1139/UE), tj. Port Lotniczy Radom-Sadków (EPRA). Certyfikat dla tego lotniska został wydany zgodnie z wymaganiami krajowymi określonymi m.in. w rozporządzeniu wydanym na podstawie art. 59a ust. 6</w:t>
      </w:r>
      <w:r w:rsidR="0075145D">
        <w:t xml:space="preserve"> </w:t>
      </w:r>
      <w:r w:rsidRPr="004C4E9E">
        <w:t xml:space="preserve">ustawy </w:t>
      </w:r>
      <w:r w:rsidR="00FB7C89" w:rsidRPr="00FB7C89">
        <w:t>−</w:t>
      </w:r>
      <w:r w:rsidR="00FB7C89">
        <w:t xml:space="preserve"> </w:t>
      </w:r>
      <w:r w:rsidR="0075145D">
        <w:t>Prawo lotnicze,</w:t>
      </w:r>
      <w:r w:rsidR="0075145D" w:rsidRPr="0075145D">
        <w:t xml:space="preserve"> tj. </w:t>
      </w:r>
      <w:r w:rsidR="00DC497C" w:rsidRPr="0075145D">
        <w:t>rozporządzeni</w:t>
      </w:r>
      <w:r w:rsidR="00DC497C">
        <w:t>u</w:t>
      </w:r>
      <w:r w:rsidR="00DC497C" w:rsidRPr="0075145D">
        <w:t xml:space="preserve"> </w:t>
      </w:r>
      <w:r w:rsidR="0075145D" w:rsidRPr="0075145D">
        <w:t>Ministra Infrastruktury z dnia 7 czerwca 2018 r. w sprawie wymagań technicznych i eksploatacyjnych dla lotnisk użytku publicznego, dla których została wydana decyzja o ograniczonej certyfi</w:t>
      </w:r>
      <w:r w:rsidR="00FB7C89">
        <w:t>kacji (Dz. U. poz. 1210)</w:t>
      </w:r>
      <w:r w:rsidR="0075145D" w:rsidRPr="0075145D" w:rsidDel="0075145D">
        <w:t xml:space="preserve"> </w:t>
      </w:r>
      <w:r w:rsidRPr="004C4E9E">
        <w:t xml:space="preserve">oraz </w:t>
      </w:r>
      <w:r w:rsidR="00FE7AB5">
        <w:t>w</w:t>
      </w:r>
      <w:r w:rsidR="00FE7AB5" w:rsidRPr="004C4E9E">
        <w:t xml:space="preserve"> </w:t>
      </w:r>
      <w:r w:rsidRPr="004C4E9E">
        <w:t xml:space="preserve">art. 83 ust. 1, art. 85 i art. 92 ust. 2 pkt 1 i 2 </w:t>
      </w:r>
      <w:r w:rsidR="00FE7AB5">
        <w:t>u</w:t>
      </w:r>
      <w:r w:rsidR="00FE7AB5" w:rsidRPr="004C4E9E">
        <w:t>stawy</w:t>
      </w:r>
      <w:r w:rsidR="00FE7AB5">
        <w:t xml:space="preserve"> </w:t>
      </w:r>
      <w:r w:rsidR="00FE7AB5" w:rsidRPr="00FE7AB5">
        <w:t>− Prawo lotnicze</w:t>
      </w:r>
      <w:r w:rsidRPr="004C4E9E">
        <w:t xml:space="preserve">. Zgodnie z art. 10 ustawy </w:t>
      </w:r>
      <w:r w:rsidR="00FE7AB5" w:rsidRPr="00FE7AB5">
        <w:t>z dnia 14 grudnia 2018 r. o zmianie ustawy − Prawo lotnicze oraz niektórych innych ustaw</w:t>
      </w:r>
      <w:r w:rsidRPr="004C4E9E">
        <w:t xml:space="preserve">, certyfikaty lotnisk wydane na podstawie art. 59a ust. 1 </w:t>
      </w:r>
      <w:r w:rsidR="008A78C4">
        <w:t>u</w:t>
      </w:r>
      <w:r w:rsidRPr="004C4E9E">
        <w:t>stawy</w:t>
      </w:r>
      <w:r w:rsidR="008A78C4">
        <w:t xml:space="preserve"> </w:t>
      </w:r>
      <w:r w:rsidR="008A78C4" w:rsidRPr="008A78C4">
        <w:t>− Prawo lotnicze</w:t>
      </w:r>
      <w:r w:rsidRPr="004C4E9E">
        <w:t>, zachowują ważność na okres, na jaki zostały wydane. Po tym okresie lotnisko to będzie musiało złożyć wniosek do Prezes</w:t>
      </w:r>
      <w:r w:rsidR="0007068E">
        <w:t>a ULC</w:t>
      </w:r>
      <w:r w:rsidRPr="004C4E9E">
        <w:t xml:space="preserve"> o wydanie certyfikatu potwierdzającego spełnianie wymagań przepisów, o których mowa w art. 59a ust. 1 pkt 2 znowelizowanej </w:t>
      </w:r>
      <w:r w:rsidR="0075145D">
        <w:t xml:space="preserve">ustawy </w:t>
      </w:r>
      <w:r w:rsidR="0075145D" w:rsidRPr="0075145D">
        <w:t>−</w:t>
      </w:r>
      <w:r w:rsidR="0075145D">
        <w:t xml:space="preserve"> Prawo lotnicze</w:t>
      </w:r>
      <w:r w:rsidRPr="004C4E9E">
        <w:t xml:space="preserve"> lub ubiegać się o wydanie certyfikatu unijnego.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 w:rsidRPr="00564140">
        <w:t>W dotychczasowym stanie prawnym wymagania dotyczące ogrodzenia lotniska były uregulowane w § </w:t>
      </w:r>
      <w:r w:rsidR="00DC497C">
        <w:t>3</w:t>
      </w:r>
      <w:r w:rsidR="00DC497C" w:rsidRPr="00564140">
        <w:t xml:space="preserve"> </w:t>
      </w:r>
      <w:r w:rsidRPr="00564140">
        <w:t xml:space="preserve">rozporządzenia </w:t>
      </w:r>
      <w:r w:rsidR="00FB7C89">
        <w:t>wydanego na podstawie</w:t>
      </w:r>
      <w:r w:rsidRPr="00564140">
        <w:t xml:space="preserve"> art. 59a ust. 5 ustawy</w:t>
      </w:r>
      <w:r w:rsidR="00FB7C89">
        <w:t xml:space="preserve"> </w:t>
      </w:r>
      <w:r w:rsidR="00FB7C89" w:rsidRPr="00FB7C89">
        <w:t>− Prawo lotnicze</w:t>
      </w:r>
      <w:r w:rsidRPr="00564140">
        <w:t>. W </w:t>
      </w:r>
      <w:r w:rsidR="00FB7C89">
        <w:t>z</w:t>
      </w:r>
      <w:r w:rsidRPr="00564140">
        <w:t xml:space="preserve">nowelizowanej ustawie </w:t>
      </w:r>
      <w:r w:rsidR="00FB7C89" w:rsidRPr="00FB7C89">
        <w:t xml:space="preserve">− </w:t>
      </w:r>
      <w:r w:rsidRPr="00564140">
        <w:t xml:space="preserve">Prawo lotnicze, w części dotyczącej ochrony </w:t>
      </w:r>
      <w:r w:rsidRPr="004C4E9E">
        <w:t xml:space="preserve">lotnictwa cywilnego przed aktami bezprawnej ingerencji (Dział IX), wprowadzono </w:t>
      </w:r>
      <w:r w:rsidR="006A08FA" w:rsidRPr="006A08FA">
        <w:t xml:space="preserve">art. 187a </w:t>
      </w:r>
      <w:r w:rsidR="006A08FA">
        <w:t xml:space="preserve">stanowiący upoważnienie ustawowe </w:t>
      </w:r>
      <w:r w:rsidRPr="004C4E9E">
        <w:t> </w:t>
      </w:r>
      <w:r w:rsidR="006A08FA">
        <w:t>dla</w:t>
      </w:r>
      <w:r w:rsidRPr="004C4E9E">
        <w:t xml:space="preserve"> ministra właściwego do spraw transportu do wydania rozporządzenia określającego wymagania, jakim powinno odpowiadać ogrodzenie lotnisk, o </w:t>
      </w:r>
      <w:r w:rsidR="00F27735" w:rsidRPr="004C4E9E">
        <w:t>który</w:t>
      </w:r>
      <w:r w:rsidR="00F27735">
        <w:t>ch</w:t>
      </w:r>
      <w:r w:rsidR="00F27735" w:rsidRPr="004C4E9E">
        <w:t xml:space="preserve"> </w:t>
      </w:r>
      <w:r w:rsidRPr="004C4E9E">
        <w:t xml:space="preserve">mowa w art. 59a ust. 1 pkt 1 i 2, mając na uwadze ochronę lotnictwa cywilnego i ograniczenie możliwości dostępu zwierząt na teren lotniska. </w:t>
      </w:r>
      <w:r w:rsidR="006A08FA">
        <w:t>Z tego względu w</w:t>
      </w:r>
      <w:r w:rsidRPr="004C4E9E">
        <w:t xml:space="preserve"> </w:t>
      </w:r>
      <w:r w:rsidR="00FB7C89">
        <w:t>projektowanym</w:t>
      </w:r>
      <w:r w:rsidR="00FB7C89" w:rsidRPr="004C4E9E">
        <w:t xml:space="preserve"> </w:t>
      </w:r>
      <w:r w:rsidRPr="004C4E9E">
        <w:t xml:space="preserve">rozporządzeniu nie </w:t>
      </w:r>
      <w:r w:rsidR="00244561">
        <w:t>zostały okreś</w:t>
      </w:r>
      <w:r w:rsidR="00FB7C89">
        <w:t>lone</w:t>
      </w:r>
      <w:r w:rsidRPr="004C4E9E">
        <w:t xml:space="preserve"> wymaga</w:t>
      </w:r>
      <w:r w:rsidR="00FB7C89">
        <w:t>nia</w:t>
      </w:r>
      <w:r w:rsidRPr="004C4E9E">
        <w:t xml:space="preserve"> dla ogrodzenia lotnisk. Dla zachowania ciągłości tych wymagań </w:t>
      </w:r>
      <w:r w:rsidR="00FB7C89">
        <w:t xml:space="preserve">projektowane </w:t>
      </w:r>
      <w:r w:rsidRPr="004C4E9E">
        <w:t>rozporządzenie powinno wejść w życie jednocześnie z przepisami wyda</w:t>
      </w:r>
      <w:r w:rsidR="006A08FA">
        <w:t>wanymi</w:t>
      </w:r>
      <w:r w:rsidRPr="004C4E9E">
        <w:t xml:space="preserve"> na podstawie art. 187a </w:t>
      </w:r>
      <w:r w:rsidR="007320B6">
        <w:t>u</w:t>
      </w:r>
      <w:r w:rsidRPr="004C4E9E">
        <w:t>stawy</w:t>
      </w:r>
      <w:r w:rsidR="007320B6">
        <w:t xml:space="preserve"> </w:t>
      </w:r>
      <w:r w:rsidR="007320B6" w:rsidRPr="007320B6">
        <w:t>−</w:t>
      </w:r>
      <w:r w:rsidR="007320B6">
        <w:t xml:space="preserve"> Prawo lotnicze</w:t>
      </w:r>
      <w:r w:rsidRPr="004C4E9E">
        <w:t>.</w:t>
      </w:r>
    </w:p>
    <w:p w:rsidR="004C4E9E" w:rsidRDefault="004C4E9E" w:rsidP="000829BD">
      <w:pPr>
        <w:pStyle w:val="NIEARTTEKSTtekstnieartykuowanynppodstprawnarozplubpreambua"/>
        <w:ind w:firstLine="0"/>
      </w:pPr>
      <w:r w:rsidRPr="004C4E9E">
        <w:t xml:space="preserve">W związku z tym, że </w:t>
      </w:r>
      <w:r w:rsidR="007320B6">
        <w:t xml:space="preserve">projektowane </w:t>
      </w:r>
      <w:r w:rsidRPr="004C4E9E">
        <w:t xml:space="preserve"> rozporządzenie, </w:t>
      </w:r>
      <w:r w:rsidR="007320B6" w:rsidRPr="004C4E9E">
        <w:t xml:space="preserve">opiera się na tej samej (najnowszej) wersji Załącznika 14 ICAO </w:t>
      </w:r>
      <w:r w:rsidR="00F27735">
        <w:t>t</w:t>
      </w:r>
      <w:r w:rsidR="00F27735" w:rsidRPr="004C4E9E">
        <w:t xml:space="preserve">om </w:t>
      </w:r>
      <w:r w:rsidR="007320B6" w:rsidRPr="004C4E9E">
        <w:t>I i II ogłoszonej w Dzienniku Urzędowym Prezesa Urzędu Lotnictwa Cywilnego</w:t>
      </w:r>
      <w:r w:rsidR="007320B6" w:rsidRPr="007320B6">
        <w:t xml:space="preserve"> </w:t>
      </w:r>
      <w:r w:rsidR="007320B6">
        <w:t>co</w:t>
      </w:r>
      <w:r w:rsidRPr="004C4E9E">
        <w:t xml:space="preserve"> równolegle </w:t>
      </w:r>
      <w:r w:rsidR="007320B6">
        <w:t>procedowane</w:t>
      </w:r>
      <w:r w:rsidR="007320B6" w:rsidRPr="004C4E9E">
        <w:t xml:space="preserve"> </w:t>
      </w:r>
      <w:r w:rsidRPr="004C4E9E">
        <w:t>rozporządzenia</w:t>
      </w:r>
      <w:r w:rsidR="007320B6">
        <w:t xml:space="preserve"> wydawane na podstawie </w:t>
      </w:r>
      <w:r w:rsidRPr="004C4E9E">
        <w:t xml:space="preserve">art. 59a ust. 6 (dla lotnisk o ograniczonej certyfikacji) oraz art. 59a ust. 7 (dla lotnisk użytku wyłącznego), </w:t>
      </w:r>
      <w:r w:rsidR="007320B6">
        <w:t xml:space="preserve">przewidywane jest </w:t>
      </w:r>
      <w:r w:rsidRPr="004C4E9E">
        <w:t>we</w:t>
      </w:r>
      <w:r w:rsidR="007320B6">
        <w:t xml:space="preserve">jście </w:t>
      </w:r>
      <w:r w:rsidRPr="004C4E9E">
        <w:t xml:space="preserve">w życie </w:t>
      </w:r>
      <w:r w:rsidR="007320B6">
        <w:t xml:space="preserve">tych rozporządzeń </w:t>
      </w:r>
      <w:r w:rsidR="00F065B5">
        <w:t xml:space="preserve">łącznie, z dniem 1 kwietnia </w:t>
      </w:r>
      <w:r w:rsidR="006C3DC3">
        <w:t xml:space="preserve">2019 </w:t>
      </w:r>
      <w:r w:rsidR="00F065B5">
        <w:t>r., tj. z dniem wejścia w życie ustawy</w:t>
      </w:r>
      <w:r w:rsidR="00F065B5" w:rsidRPr="00F065B5">
        <w:t xml:space="preserve"> z dnia 14 grudnia 2018 r. o zmianie ustawy − Prawo lotnicze</w:t>
      </w:r>
      <w:r w:rsidR="006A08FA">
        <w:t xml:space="preserve"> oraz niektórych innych ustaw</w:t>
      </w:r>
      <w:r w:rsidRPr="004C4E9E">
        <w:t>.</w:t>
      </w:r>
    </w:p>
    <w:p w:rsidR="004C4E9E" w:rsidRPr="004C4E9E" w:rsidRDefault="0075145D" w:rsidP="000829BD">
      <w:pPr>
        <w:pStyle w:val="NIEARTTEKSTtekstnieartykuowanynppodstprawnarozplubpreambua"/>
        <w:ind w:firstLine="0"/>
        <w:rPr>
          <w:rStyle w:val="Ppogrubienie"/>
          <w:rFonts w:ascii="Times New Roman" w:eastAsiaTheme="minorHAnsi" w:hAnsi="Times New Roman" w:cstheme="minorBidi"/>
          <w:bCs w:val="0"/>
          <w:szCs w:val="22"/>
          <w:lang w:eastAsia="en-US"/>
        </w:rPr>
      </w:pPr>
      <w:r>
        <w:rPr>
          <w:rStyle w:val="Ppogrubienie"/>
        </w:rPr>
        <w:lastRenderedPageBreak/>
        <w:t>IV.</w:t>
      </w:r>
      <w:r w:rsidR="000B7716">
        <w:rPr>
          <w:rStyle w:val="Ppogrubienie"/>
        </w:rPr>
        <w:t xml:space="preserve"> </w:t>
      </w:r>
      <w:r w:rsidR="004C4E9E" w:rsidRPr="004C4E9E">
        <w:rPr>
          <w:rStyle w:val="Ppogrubienie"/>
        </w:rPr>
        <w:tab/>
        <w:t>Zakres regulacji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>
        <w:t xml:space="preserve">Projekt rozporządzenia został podzielony na </w:t>
      </w:r>
      <w:r w:rsidRPr="004C4E9E">
        <w:t>4 rozdziały.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>
        <w:t xml:space="preserve">Rozdział 1 określa zakres rozporządzenia, </w:t>
      </w:r>
      <w:r w:rsidR="009A41A8">
        <w:t xml:space="preserve">znaczenie wybranych pojęć użytych w rozporządzeniu, </w:t>
      </w:r>
      <w:r>
        <w:t xml:space="preserve">a także wprowadza skróty dotyczące Załącznika 14 do Konwencji. </w:t>
      </w:r>
      <w:r w:rsidRPr="004C4E9E">
        <w:t xml:space="preserve">W § 2 ust. 2 wskazano, że ilekroć w treści przepisów Załącznika 14 jest mowa o właściwej władzy to kompetencje lub obowiązki tam wskazane pełni Prezes </w:t>
      </w:r>
      <w:r w:rsidR="006C3DC3">
        <w:t>ULC</w:t>
      </w:r>
      <w:r w:rsidRPr="004C4E9E">
        <w:t xml:space="preserve">. Analogiczne rozwiązanie legislacyjne zostało zastosowane m.in. w rozporządzeniu Ministra Infrastruktury z dnia 26 marca 2009 r. w sprawie szczegółowych zasad działania telekomunikacji lotniczej (Dz. U. z 2014 r. poz. 410) i rozporządzeniu Ministra Infrastruktury i Rozwoju z dnia 22 stycznia 2015 r. w sprawie przepisów ruchu lotniczego (Dz. U. poz. 141). </w:t>
      </w:r>
      <w:r w:rsidR="00B22CA8">
        <w:t>P</w:t>
      </w:r>
      <w:r w:rsidRPr="004C4E9E">
        <w:t xml:space="preserve">rzepisy </w:t>
      </w:r>
      <w:r w:rsidR="00F065B5">
        <w:t>z</w:t>
      </w:r>
      <w:r w:rsidRPr="004C4E9E">
        <w:t xml:space="preserve">ałączników </w:t>
      </w:r>
      <w:r w:rsidR="00F065B5">
        <w:t>do Konwencji</w:t>
      </w:r>
      <w:r w:rsidR="00F065B5" w:rsidRPr="004C4E9E">
        <w:t xml:space="preserve"> </w:t>
      </w:r>
      <w:r w:rsidRPr="004C4E9E">
        <w:t>nie są samowykonalne, a w procesie ich wdrażania do krajowego porządku prawnego należy je uszczegółowić w taki sposób</w:t>
      </w:r>
      <w:r w:rsidR="00F065B5">
        <w:t>,</w:t>
      </w:r>
      <w:r w:rsidRPr="004C4E9E">
        <w:t xml:space="preserve"> aby były czytelne i łatwe w stosowaniu. Należy przy tym zauważyć, że w przypadku pojęcia „właściwa władza” można przyjąć, że kwestię tę reguluje już art. 21 ust. 2a ustawy – Prawo lotnicze, jednak mogą wystąpić sytuacje</w:t>
      </w:r>
      <w:r w:rsidR="00B22CA8">
        <w:t>,</w:t>
      </w:r>
      <w:r w:rsidRPr="004C4E9E">
        <w:t xml:space="preserve"> w których w warunkach krajowych, zadania, o których mowa w </w:t>
      </w:r>
      <w:r w:rsidR="00B22CA8">
        <w:t>z</w:t>
      </w:r>
      <w:r w:rsidR="00B22CA8" w:rsidRPr="004C4E9E">
        <w:t xml:space="preserve">ałącznikach </w:t>
      </w:r>
      <w:r w:rsidR="001B1B1E">
        <w:t>do Konwencji</w:t>
      </w:r>
      <w:r w:rsidRPr="004C4E9E">
        <w:t xml:space="preserve"> realizują podmioty inne niż Prezes </w:t>
      </w:r>
      <w:r w:rsidR="00B22CA8">
        <w:t>ULC</w:t>
      </w:r>
      <w:r w:rsidR="00B22CA8" w:rsidRPr="004C4E9E">
        <w:t xml:space="preserve"> </w:t>
      </w:r>
      <w:r w:rsidRPr="004C4E9E">
        <w:t>(por. rozporządzenie Ministra Infrastruktury i Rozwoju z dnia 25 września 2015 r. w sprawie służby informacji lotniczej (Dz. U. poz. 1689)</w:t>
      </w:r>
      <w:r w:rsidR="00B22CA8">
        <w:t>)</w:t>
      </w:r>
      <w:r w:rsidRPr="004C4E9E">
        <w:t>. Tym samym bezpośrednie wskazanie, że w przypadku Załącznika 14</w:t>
      </w:r>
      <w:r w:rsidR="001B1B1E">
        <w:t xml:space="preserve"> do Konwencji</w:t>
      </w:r>
      <w:r w:rsidRPr="004C4E9E">
        <w:t xml:space="preserve"> kompetencje i obowiązki „właściwej władzy” pełni Prezes Urzędu, jest uzasadnione i w sposób klarowny doprecyzowuje przepisy Załącznika 14 </w:t>
      </w:r>
      <w:r w:rsidR="001B1B1E">
        <w:t>do Konwencji</w:t>
      </w:r>
      <w:r w:rsidRPr="004C4E9E">
        <w:t>.</w:t>
      </w:r>
    </w:p>
    <w:p w:rsidR="00244561" w:rsidRDefault="004C4E9E" w:rsidP="000829BD">
      <w:pPr>
        <w:pStyle w:val="NIEARTTEKSTtekstnieartykuowanynppodstprawnarozplubpreambua"/>
        <w:ind w:firstLine="0"/>
      </w:pPr>
      <w:r>
        <w:t xml:space="preserve">Rozdział 2 </w:t>
      </w:r>
      <w:r w:rsidR="005778A9">
        <w:t xml:space="preserve">określa </w:t>
      </w:r>
      <w:r w:rsidRPr="004C4E9E">
        <w:t xml:space="preserve"> wymagania techniczne i eksploatacyjne dla lotnisk dla samolotów, dla których wydano zwolnienie, o którym mowa w art. 2 ust. 7 rozporządzenia nr 2018/1139/UE</w:t>
      </w:r>
      <w:r w:rsidR="00244561">
        <w:t>.</w:t>
      </w:r>
      <w:r w:rsidR="00E24AE8">
        <w:t xml:space="preserve"> </w:t>
      </w:r>
      <w:r w:rsidR="00CB702F">
        <w:t xml:space="preserve">Przepis </w:t>
      </w:r>
      <w:r w:rsidRPr="004C4E9E">
        <w:t xml:space="preserve">§ 3 wskazuje, które </w:t>
      </w:r>
      <w:r w:rsidR="00CB702F">
        <w:t>punkty</w:t>
      </w:r>
      <w:r w:rsidRPr="004C4E9E">
        <w:t xml:space="preserve"> Załącznika 14 </w:t>
      </w:r>
      <w:r w:rsidR="00E24AE8">
        <w:t xml:space="preserve">do Konwencji </w:t>
      </w:r>
      <w:r w:rsidRPr="004C4E9E">
        <w:t>tom I nie mają zastosowania do lotnisk dla samolotów objętych zakresem rozporządzenia. W</w:t>
      </w:r>
      <w:r w:rsidR="00E24AE8">
        <w:t xml:space="preserve"> przepisie</w:t>
      </w:r>
      <w:r w:rsidRPr="004C4E9E">
        <w:t xml:space="preserve"> § 4</w:t>
      </w:r>
      <w:r w:rsidR="00180EFA" w:rsidRPr="00180EFA">
        <w:t>–</w:t>
      </w:r>
      <w:r w:rsidRPr="004C4E9E">
        <w:t xml:space="preserve">11 doprecyzowano stosowanie niektórych </w:t>
      </w:r>
      <w:r w:rsidR="00244561">
        <w:t>punktów</w:t>
      </w:r>
      <w:r w:rsidRPr="004C4E9E">
        <w:t xml:space="preserve"> Załącznika 14</w:t>
      </w:r>
      <w:r w:rsidR="00E24AE8">
        <w:t xml:space="preserve"> do Konwencji</w:t>
      </w:r>
      <w:r w:rsidRPr="004C4E9E">
        <w:t xml:space="preserve">. </w:t>
      </w:r>
    </w:p>
    <w:p w:rsidR="004C4E9E" w:rsidRPr="004C4E9E" w:rsidRDefault="00244561" w:rsidP="000829BD">
      <w:pPr>
        <w:pStyle w:val="NIEARTTEKSTtekstnieartykuowanynppodstprawnarozplubpreambua"/>
        <w:ind w:firstLine="0"/>
      </w:pPr>
      <w:r>
        <w:t>R</w:t>
      </w:r>
      <w:r w:rsidRPr="004C4E9E">
        <w:t xml:space="preserve">ozdział </w:t>
      </w:r>
      <w:r w:rsidRPr="00244561">
        <w:t xml:space="preserve">3 określa wymagania techniczne i eksploatacyjne dla lotnisk dla śmigłowców. </w:t>
      </w:r>
      <w:r w:rsidR="004C4E9E" w:rsidRPr="004C4E9E">
        <w:t xml:space="preserve">W </w:t>
      </w:r>
      <w:r w:rsidR="00E24AE8">
        <w:t xml:space="preserve">przepisie </w:t>
      </w:r>
      <w:r w:rsidR="004C4E9E" w:rsidRPr="004C4E9E">
        <w:t>§ 12 wskazano</w:t>
      </w:r>
      <w:r>
        <w:t xml:space="preserve"> jednocześnie</w:t>
      </w:r>
      <w:r w:rsidR="004C4E9E" w:rsidRPr="004C4E9E">
        <w:t xml:space="preserve"> </w:t>
      </w:r>
      <w:r w:rsidR="00CB702F">
        <w:t>punkty</w:t>
      </w:r>
      <w:r w:rsidR="004C4E9E" w:rsidRPr="004C4E9E">
        <w:t xml:space="preserve"> Załącznika 14 </w:t>
      </w:r>
      <w:r w:rsidR="00E24AE8">
        <w:t xml:space="preserve">do Konwencji </w:t>
      </w:r>
      <w:r w:rsidR="004C4E9E" w:rsidRPr="004C4E9E">
        <w:t xml:space="preserve">tom II, które nie mają zastosowania do lotnisk dla śmigłowców objętych zakresem </w:t>
      </w:r>
      <w:r w:rsidR="00180EFA">
        <w:t>rozporządzenia</w:t>
      </w:r>
      <w:r w:rsidR="004C4E9E" w:rsidRPr="004C4E9E">
        <w:t>.</w:t>
      </w:r>
    </w:p>
    <w:p w:rsidR="004C4E9E" w:rsidRDefault="004C4E9E" w:rsidP="000829BD">
      <w:pPr>
        <w:pStyle w:val="NIEARTTEKSTtekstnieartykuowanynppodstprawnarozplubpreambua"/>
        <w:ind w:firstLine="0"/>
      </w:pPr>
      <w:r>
        <w:t xml:space="preserve">Rozdział 4 </w:t>
      </w:r>
      <w:r w:rsidR="00180EFA">
        <w:t xml:space="preserve">zawiera </w:t>
      </w:r>
      <w:r>
        <w:t>przepisy przejściowe i końcowe.</w:t>
      </w:r>
    </w:p>
    <w:p w:rsidR="004C4E9E" w:rsidRDefault="0075145D" w:rsidP="000829BD">
      <w:pPr>
        <w:pStyle w:val="NIEARTTEKSTtekstnieartykuowanynppodstprawnarozplubpreambua"/>
        <w:ind w:firstLine="0"/>
        <w:rPr>
          <w:rStyle w:val="Ppogrubienie"/>
          <w:rFonts w:ascii="Times New Roman" w:eastAsiaTheme="minorHAnsi" w:hAnsi="Times New Roman" w:cstheme="minorBidi"/>
          <w:bCs w:val="0"/>
          <w:szCs w:val="22"/>
          <w:lang w:eastAsia="en-US"/>
        </w:rPr>
      </w:pPr>
      <w:r>
        <w:rPr>
          <w:rStyle w:val="Ppogrubienie"/>
        </w:rPr>
        <w:t>V.</w:t>
      </w:r>
      <w:r w:rsidR="004C4E9E" w:rsidRPr="004C4E9E">
        <w:rPr>
          <w:rStyle w:val="Ppogrubienie"/>
        </w:rPr>
        <w:tab/>
        <w:t>Przewidywane skutki prawne wejścia w życie rozporządzenia</w:t>
      </w:r>
    </w:p>
    <w:p w:rsidR="004C4E9E" w:rsidRPr="004C4E9E" w:rsidRDefault="004C4E9E" w:rsidP="000829BD">
      <w:pPr>
        <w:pStyle w:val="NIEARTTEKSTtekstnieartykuowanynppodstprawnarozplubpreambua"/>
        <w:ind w:firstLine="0"/>
      </w:pPr>
      <w:r w:rsidRPr="00564140">
        <w:lastRenderedPageBreak/>
        <w:t xml:space="preserve">Wejście w życie nowego rozporządzenia </w:t>
      </w:r>
      <w:r w:rsidR="00244561">
        <w:t>wydanego na podstawie</w:t>
      </w:r>
      <w:r w:rsidRPr="00564140">
        <w:t xml:space="preserve"> art. 59a ust. 5 </w:t>
      </w:r>
      <w:r w:rsidR="00244561" w:rsidRPr="00244561">
        <w:t xml:space="preserve">ustawy − Prawo lotnicze </w:t>
      </w:r>
      <w:r w:rsidRPr="00564140">
        <w:t xml:space="preserve">nie </w:t>
      </w:r>
      <w:r w:rsidR="00244561">
        <w:t>spowoduje</w:t>
      </w:r>
      <w:r w:rsidR="00244561" w:rsidRPr="00564140">
        <w:t xml:space="preserve"> </w:t>
      </w:r>
      <w:r w:rsidRPr="00564140">
        <w:t xml:space="preserve">żadnych obciążeń finansowych dla zarządzających lotniskami, ani dla innych podmiotów. </w:t>
      </w:r>
    </w:p>
    <w:p w:rsidR="004C4E9E" w:rsidRPr="004C4E9E" w:rsidRDefault="00244561" w:rsidP="000829BD">
      <w:pPr>
        <w:pStyle w:val="NIEARTTEKSTtekstnieartykuowanynppodstprawnarozplubpreambua"/>
        <w:ind w:firstLine="0"/>
      </w:pPr>
      <w:r>
        <w:t>T</w:t>
      </w:r>
      <w:r w:rsidR="004C4E9E" w:rsidRPr="00564140">
        <w:t xml:space="preserve">ylko jedno lotnisko </w:t>
      </w:r>
      <w:r>
        <w:t xml:space="preserve">będzie </w:t>
      </w:r>
      <w:r w:rsidR="004C4E9E" w:rsidRPr="00564140">
        <w:t>podlega</w:t>
      </w:r>
      <w:r>
        <w:t>ć</w:t>
      </w:r>
      <w:r w:rsidR="004C4E9E" w:rsidRPr="00564140">
        <w:t xml:space="preserve"> prz</w:t>
      </w:r>
      <w:r w:rsidR="004C4E9E" w:rsidRPr="004C4E9E">
        <w:t xml:space="preserve">episom </w:t>
      </w:r>
      <w:r>
        <w:t>projektowanego</w:t>
      </w:r>
      <w:r w:rsidRPr="004C4E9E">
        <w:t xml:space="preserve"> </w:t>
      </w:r>
      <w:r w:rsidR="004C4E9E" w:rsidRPr="004C4E9E">
        <w:t xml:space="preserve">rozporządzenia, tj. Port Lotniczy Radom-Sadków, który posiada zwolnienie </w:t>
      </w:r>
      <w:r w:rsidR="00937EDC">
        <w:t>ze</w:t>
      </w:r>
      <w:r w:rsidR="00937EDC" w:rsidRPr="004C4E9E">
        <w:t xml:space="preserve"> </w:t>
      </w:r>
      <w:r w:rsidR="004C4E9E" w:rsidRPr="004C4E9E">
        <w:t xml:space="preserve">stosowania przepisów unijnych oraz certyfikat wydany </w:t>
      </w:r>
      <w:r w:rsidRPr="004C4E9E">
        <w:t xml:space="preserve">m.in. </w:t>
      </w:r>
      <w:r w:rsidR="004C4E9E" w:rsidRPr="004C4E9E">
        <w:t xml:space="preserve">na podstawie </w:t>
      </w:r>
      <w:r>
        <w:t xml:space="preserve">obowiązujących </w:t>
      </w:r>
      <w:r w:rsidR="004C4E9E" w:rsidRPr="004C4E9E">
        <w:t>przepisów wydanych na podstawie art. 59a ust. 6 ustawy – Prawo lotnicze. Lotnisko Radom</w:t>
      </w:r>
      <w:r w:rsidR="00937EDC" w:rsidRPr="00937EDC">
        <w:t>-Sadków</w:t>
      </w:r>
      <w:r w:rsidR="004C4E9E" w:rsidRPr="004C4E9E">
        <w:t xml:space="preserve"> nie powinno mieć problemów z dostosowaniem się do projektowanych przepisów i ponosić dodatkowych nakładów finansowych. Lotnisko to planuje w przyszłości ubiegać się o certyfikat unijny i już od dawna spełnia </w:t>
      </w:r>
      <w:r w:rsidR="005C1B92" w:rsidRPr="005C1B92">
        <w:t>wymagania</w:t>
      </w:r>
      <w:r w:rsidR="005C1B92">
        <w:t>, które</w:t>
      </w:r>
      <w:r w:rsidR="005C1B92" w:rsidRPr="005C1B92">
        <w:t xml:space="preserve"> </w:t>
      </w:r>
      <w:r w:rsidR="004C4E9E" w:rsidRPr="004C4E9E">
        <w:t xml:space="preserve">generują </w:t>
      </w:r>
      <w:r w:rsidR="005A7E1D">
        <w:t xml:space="preserve">największe </w:t>
      </w:r>
      <w:r w:rsidR="004C4E9E" w:rsidRPr="004C4E9E">
        <w:t xml:space="preserve">koszty. Wymagania, które mogłyby generować duże koszty (dotyczące pochyleń podłużnych i poprzecznych nawierzchni drogi startowej) zostały wyłączone w przepisach przejściowych w § 13 ust. </w:t>
      </w:r>
      <w:r w:rsidR="005C1B92">
        <w:t>2</w:t>
      </w:r>
      <w:r w:rsidR="005C1B92" w:rsidRPr="004C4E9E">
        <w:t xml:space="preserve"> </w:t>
      </w:r>
      <w:r w:rsidR="004C4E9E" w:rsidRPr="004C4E9E">
        <w:t xml:space="preserve">projektu rozporządzenia. Podobne wyłączenie </w:t>
      </w:r>
      <w:r w:rsidR="005C1B92">
        <w:t>ze</w:t>
      </w:r>
      <w:r w:rsidR="005C1B92" w:rsidRPr="004C4E9E">
        <w:t xml:space="preserve"> </w:t>
      </w:r>
      <w:r w:rsidR="004C4E9E" w:rsidRPr="004C4E9E">
        <w:t xml:space="preserve">stosowania tych wymagań </w:t>
      </w:r>
      <w:r w:rsidR="00DA6780">
        <w:t>obowiązywało</w:t>
      </w:r>
      <w:r w:rsidR="004C4E9E" w:rsidRPr="004C4E9E">
        <w:t xml:space="preserve"> w przeszłości dla lotnisk certyfikowanych wg przepisów krajowych. </w:t>
      </w:r>
    </w:p>
    <w:p w:rsidR="004C4E9E" w:rsidRPr="004C4E9E" w:rsidRDefault="005C1B92" w:rsidP="000829BD">
      <w:pPr>
        <w:pStyle w:val="NIEARTTEKSTtekstnieartykuowanynppodstprawnarozplubpreambua"/>
        <w:ind w:firstLine="0"/>
      </w:pPr>
      <w:r>
        <w:t>N</w:t>
      </w:r>
      <w:r w:rsidR="004C4E9E" w:rsidRPr="004C4E9E">
        <w:t>owe wymagania merytoryczne wynikające ze zmiany nr 14 do Załącznika 14 ICAO Tom I dotyczą innego sposobu wyznaczania kodu referencyjnego lotniska oraz wdrożenia przez ICAO nowego dokumentu „Procedury służb żeglugi powietrznej – Zarządzanie informacjami lotniczym (PANS-AIM)” (Doc 10066) (Procedures for Air Navigation Services – Aeronautical Information Management). Zmiany te nie wymagają od zarządzających lotniskami żadnych nakładów finansowych.</w:t>
      </w:r>
    </w:p>
    <w:p w:rsidR="004C4E9E" w:rsidRPr="004C4E9E" w:rsidRDefault="00B26BEB" w:rsidP="000829BD">
      <w:pPr>
        <w:pStyle w:val="NIEARTTEKSTtekstnieartykuowanynppodstprawnarozplubpreambua"/>
        <w:ind w:firstLine="0"/>
      </w:pPr>
      <w:r>
        <w:t>P</w:t>
      </w:r>
      <w:r w:rsidR="004C4E9E" w:rsidRPr="00564140">
        <w:rPr>
          <w:szCs w:val="22"/>
        </w:rPr>
        <w:t xml:space="preserve">osiadany </w:t>
      </w:r>
      <w:r w:rsidR="004C4E9E" w:rsidRPr="004C4E9E">
        <w:t xml:space="preserve">certyfikat lotniska zachowuje ważność na okres, na jaki został wydany, więc zarządzający lotniskiem powinien mieć wystarczający czas na dostosowanie lotniska do nowych wymagań. </w:t>
      </w:r>
    </w:p>
    <w:p w:rsidR="004C4E9E" w:rsidRPr="004C4E9E" w:rsidRDefault="0075145D" w:rsidP="000829BD">
      <w:pPr>
        <w:pStyle w:val="NIEARTTEKSTtekstnieartykuowanynppodstprawnarozplubpreambua"/>
        <w:ind w:firstLine="0"/>
        <w:rPr>
          <w:rStyle w:val="Ppogrubienie"/>
          <w:rFonts w:ascii="Times New Roman" w:eastAsiaTheme="minorHAnsi" w:hAnsi="Times New Roman" w:cstheme="minorBidi"/>
          <w:bCs w:val="0"/>
          <w:szCs w:val="22"/>
          <w:lang w:eastAsia="en-US"/>
        </w:rPr>
      </w:pPr>
      <w:r>
        <w:rPr>
          <w:rStyle w:val="Ppogrubienie"/>
        </w:rPr>
        <w:t xml:space="preserve">VI. </w:t>
      </w:r>
      <w:r w:rsidR="004C4E9E" w:rsidRPr="004C4E9E">
        <w:rPr>
          <w:rStyle w:val="Ppogrubienie"/>
        </w:rPr>
        <w:t>Przedstawienie projektu właściwym organom i instytucjom Unii Europejskiej, w tym Europejskiemu Bankowi Centralnemu, w celu uzyskania opinii, dokonania powiadomienia, konsultacji albo uzgodnienia, jeżeli obowiązek taki wynika z odrębnych przepisów</w:t>
      </w:r>
    </w:p>
    <w:p w:rsidR="006F3175" w:rsidRPr="006F3175" w:rsidRDefault="006F3175" w:rsidP="003D0295">
      <w:pPr>
        <w:pStyle w:val="NIEARTTEKSTtekstnieartykuowanynppodstprawnarozplubpreambua"/>
        <w:ind w:firstLine="0"/>
      </w:pPr>
      <w:r w:rsidRPr="006F3175">
        <w:t xml:space="preserve">Projekt nie wymaga przedstawienia właściwym organom i instytucjom Unii Europejskiej, o których mowa w § 27 ust. 4 uchwały nr 190 Rady Ministrów z dnia 29 października 2013 r. – Regulamin pracy Rady Ministrów (M. P. z 2016 r. poz. 1006, z późn. zm.). </w:t>
      </w:r>
    </w:p>
    <w:p w:rsidR="004C4E9E" w:rsidRDefault="0075145D" w:rsidP="000829BD">
      <w:pPr>
        <w:pStyle w:val="NIEARTTEKSTtekstnieartykuowanynppodstprawnarozplubpreambua"/>
        <w:ind w:firstLine="0"/>
        <w:rPr>
          <w:rStyle w:val="Ppogrubienie"/>
          <w:rFonts w:ascii="Times New Roman" w:eastAsiaTheme="minorHAnsi" w:hAnsi="Times New Roman" w:cstheme="minorBidi"/>
          <w:bCs w:val="0"/>
          <w:szCs w:val="22"/>
          <w:lang w:eastAsia="en-US"/>
        </w:rPr>
      </w:pPr>
      <w:r>
        <w:rPr>
          <w:rStyle w:val="Ppogrubienie"/>
        </w:rPr>
        <w:lastRenderedPageBreak/>
        <w:t>VII.</w:t>
      </w:r>
      <w:r w:rsidR="004C4E9E" w:rsidRPr="004C4E9E">
        <w:rPr>
          <w:rStyle w:val="Ppogrubienie"/>
        </w:rPr>
        <w:tab/>
        <w:t xml:space="preserve">Ocena organu </w:t>
      </w:r>
      <w:r w:rsidR="003D0295">
        <w:rPr>
          <w:rStyle w:val="Ppogrubienie"/>
        </w:rPr>
        <w:t xml:space="preserve">wnioskującego </w:t>
      </w:r>
      <w:r w:rsidR="004C4E9E" w:rsidRPr="004C4E9E">
        <w:rPr>
          <w:rStyle w:val="Ppogrubienie"/>
        </w:rPr>
        <w:t>do opracowania projektu rozporządzenia, czy projekt ten podlega notyfikacji zgodnie z przepisami dotyczącymi funkcjonowania krajowego systemu notyfikacji norm i aktów prawnych</w:t>
      </w:r>
    </w:p>
    <w:p w:rsidR="00940346" w:rsidRPr="00940346" w:rsidRDefault="00940346" w:rsidP="00DF7051">
      <w:pPr>
        <w:pStyle w:val="NIEARTTEKSTtekstnieartykuowanynppodstprawnarozplubpreambua"/>
        <w:ind w:firstLine="0"/>
      </w:pPr>
      <w:r w:rsidRPr="00940346">
        <w:t>Regulacje zawarte w projektowanym rozporządzeniu nie stanowią przepisów technicznych w rozumieniu rozporządzenia Rady Ministrów z dnia 23 grudnia 2002 r. w sprawie sposobu funkcjonowania krajowego systemu notyfikacji norm i aktów prawnych (Dz. U. poz. 2039, z późn. zm.), zatem nie podlega ono notyfikacji.</w:t>
      </w:r>
    </w:p>
    <w:p w:rsidR="004C4E9E" w:rsidRPr="004C4E9E" w:rsidRDefault="003D0295" w:rsidP="000829BD">
      <w:pPr>
        <w:pStyle w:val="NIEARTTEKSTtekstnieartykuowanynppodstprawnarozplubpreambua"/>
        <w:ind w:firstLine="0"/>
        <w:rPr>
          <w:rStyle w:val="Ppogrubienie"/>
          <w:rFonts w:ascii="Times New Roman" w:eastAsiaTheme="minorHAnsi" w:hAnsi="Times New Roman" w:cstheme="minorBidi"/>
          <w:bCs w:val="0"/>
          <w:szCs w:val="22"/>
          <w:lang w:eastAsia="en-US"/>
        </w:rPr>
      </w:pPr>
      <w:r>
        <w:rPr>
          <w:rStyle w:val="Ppogrubienie"/>
        </w:rPr>
        <w:t>VIII</w:t>
      </w:r>
      <w:r w:rsidR="005714B5">
        <w:rPr>
          <w:rStyle w:val="Ppogrubienie"/>
        </w:rPr>
        <w:t>.</w:t>
      </w:r>
      <w:r w:rsidR="0075145D">
        <w:rPr>
          <w:rStyle w:val="Ppogrubienie"/>
        </w:rPr>
        <w:t xml:space="preserve"> </w:t>
      </w:r>
      <w:r w:rsidR="004C4E9E" w:rsidRPr="004C4E9E">
        <w:rPr>
          <w:rStyle w:val="Ppogrubienie"/>
        </w:rPr>
        <w:tab/>
        <w:t>Oświadczenie organu wnioskującego co do zgodności projektu z prawem Unii Europejskiej </w:t>
      </w:r>
    </w:p>
    <w:p w:rsidR="004C4E9E" w:rsidRDefault="00E6172F" w:rsidP="000829BD">
      <w:pPr>
        <w:pStyle w:val="NIEARTTEKSTtekstnieartykuowanynppodstprawnarozplubpreambua"/>
        <w:ind w:firstLine="0"/>
      </w:pPr>
      <w:r>
        <w:t>P</w:t>
      </w:r>
      <w:r w:rsidR="004C4E9E" w:rsidRPr="004C4E9E">
        <w:t>rojekt rozporządzenia jest zgodny z prawem Unii Europejskiej.</w:t>
      </w:r>
    </w:p>
    <w:p w:rsidR="00DF7051" w:rsidRPr="00DF7051" w:rsidRDefault="00DF7051" w:rsidP="00DF7051">
      <w:pPr>
        <w:pStyle w:val="ARTartustawynprozporzdzenia"/>
        <w:ind w:firstLine="0"/>
        <w:rPr>
          <w:rStyle w:val="Ppogrubienie"/>
        </w:rPr>
      </w:pPr>
      <w:r w:rsidRPr="00DF7051">
        <w:rPr>
          <w:rStyle w:val="Ppogrubienie"/>
        </w:rPr>
        <w:t>IX. Ocena wpływu na działalność mikroprzedsiębiorców, małych i średnich przedsiębiorców</w:t>
      </w:r>
    </w:p>
    <w:p w:rsidR="00DF7051" w:rsidRPr="00DF7051" w:rsidRDefault="00DF7051" w:rsidP="00DF7051">
      <w:pPr>
        <w:pStyle w:val="ARTartustawynprozporzdzenia"/>
        <w:ind w:firstLine="0"/>
      </w:pPr>
      <w:r w:rsidRPr="00DF7051">
        <w:t>Rozwiązania zawarte w projekcie rozporządzenia nie będą miały wpływu na działalność mikroprzedsiębiorców, małych i średnich przedsiębiorców.</w:t>
      </w:r>
    </w:p>
    <w:p w:rsidR="003D0295" w:rsidRPr="003D0295" w:rsidRDefault="003D0295" w:rsidP="003D0295">
      <w:pPr>
        <w:pStyle w:val="NIEARTTEKSTtekstnieartykuowanynppodstprawnarozplubpreambua"/>
        <w:ind w:firstLine="0"/>
        <w:rPr>
          <w:rStyle w:val="Ppogrubienie"/>
        </w:rPr>
      </w:pPr>
      <w:r>
        <w:rPr>
          <w:rStyle w:val="Ppogrubienie"/>
        </w:rPr>
        <w:t>X.</w:t>
      </w:r>
      <w:r w:rsidRPr="003D0295">
        <w:rPr>
          <w:rStyle w:val="Ppogrubienie"/>
        </w:rPr>
        <w:tab/>
        <w:t>Udostępnienie w Biuletynie Informacji Publicznej</w:t>
      </w:r>
    </w:p>
    <w:p w:rsidR="003D0295" w:rsidRPr="003D0295" w:rsidRDefault="003D0295" w:rsidP="003D0295">
      <w:pPr>
        <w:pStyle w:val="NIEARTTEKSTtekstnieartykuowanynppodstprawnarozplubpreambua"/>
        <w:ind w:firstLine="0"/>
      </w:pPr>
      <w:r w:rsidRPr="00564140">
        <w:t xml:space="preserve">Zgodnie z § 52 uchwały </w:t>
      </w:r>
      <w:r w:rsidRPr="003D0295">
        <w:t>nr 190 Rady Ministrów z dnia 29 października 2013 r. – Regulamin pracy Rady Ministrów, projekt rozporządzenia zostanie udostępniony w Biuletynie Informacji Publicznej</w:t>
      </w:r>
      <w:r w:rsidR="005714B5">
        <w:t xml:space="preserve"> na stronie podmiotowej</w:t>
      </w:r>
      <w:r w:rsidRPr="003D0295">
        <w:t xml:space="preserve"> Rządowego Centrum Legislacji,</w:t>
      </w:r>
      <w:r w:rsidR="005714B5">
        <w:t xml:space="preserve"> w serwisie Rządowy Proces Legislacyjny, </w:t>
      </w:r>
      <w:r w:rsidRPr="003D0295">
        <w:t>z chwilą przekazania do uzgodnień międzyresortowych i konsultacji publicznych.</w:t>
      </w:r>
    </w:p>
    <w:p w:rsidR="003D0295" w:rsidRPr="003D0295" w:rsidRDefault="003D0295" w:rsidP="003D0295">
      <w:pPr>
        <w:pStyle w:val="ARTartustawynprozporzdzenia"/>
      </w:pPr>
    </w:p>
    <w:p w:rsidR="004C4E9E" w:rsidRDefault="004C4E9E" w:rsidP="004C4E9E"/>
    <w:p w:rsidR="004C4E9E" w:rsidRDefault="004C4E9E" w:rsidP="004C4E9E"/>
    <w:p w:rsidR="004C4E9E" w:rsidRPr="004C4E9E" w:rsidRDefault="004C4E9E" w:rsidP="004C4E9E">
      <w:pPr>
        <w:pStyle w:val="TYTDZPRZEDMprzedmiotregulacjitytuulubdziau"/>
      </w:pPr>
      <w:r>
        <w:rPr>
          <w:szCs w:val="22"/>
        </w:rPr>
        <w:br w:type="page"/>
      </w:r>
    </w:p>
    <w:tbl>
      <w:tblPr>
        <w:tblW w:w="5636" w:type="pct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09"/>
        <w:gridCol w:w="913"/>
        <w:gridCol w:w="237"/>
        <w:gridCol w:w="208"/>
        <w:gridCol w:w="503"/>
        <w:gridCol w:w="272"/>
        <w:gridCol w:w="154"/>
        <w:gridCol w:w="135"/>
        <w:gridCol w:w="272"/>
        <w:gridCol w:w="12"/>
        <w:gridCol w:w="416"/>
        <w:gridCol w:w="10"/>
        <w:gridCol w:w="566"/>
        <w:gridCol w:w="385"/>
        <w:gridCol w:w="31"/>
        <w:gridCol w:w="150"/>
        <w:gridCol w:w="568"/>
        <w:gridCol w:w="131"/>
        <w:gridCol w:w="262"/>
        <w:gridCol w:w="173"/>
        <w:gridCol w:w="441"/>
        <w:gridCol w:w="64"/>
        <w:gridCol w:w="439"/>
        <w:gridCol w:w="320"/>
        <w:gridCol w:w="1183"/>
      </w:tblGrid>
      <w:tr w:rsidR="006B3B18" w:rsidRPr="00564140" w:rsidTr="00FB53A1">
        <w:tc>
          <w:tcPr>
            <w:tcW w:w="3191" w:type="pct"/>
            <w:gridSpan w:val="15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FB53A1" w:rsidRDefault="004C4E9E" w:rsidP="004C4E9E">
            <w:pPr>
              <w:rPr>
                <w:rStyle w:val="Ppogrubienie"/>
              </w:rPr>
            </w:pPr>
            <w:bookmarkStart w:id="2" w:name="t1"/>
            <w:r w:rsidRPr="00FB53A1">
              <w:rPr>
                <w:rStyle w:val="Ppogrubienie"/>
              </w:rPr>
              <w:lastRenderedPageBreak/>
              <w:t>Nazwa projektu</w:t>
            </w:r>
          </w:p>
          <w:p w:rsidR="004C4E9E" w:rsidRPr="004C4E9E" w:rsidRDefault="000B7716" w:rsidP="004C4E9E">
            <w:r>
              <w:t>R</w:t>
            </w:r>
            <w:r w:rsidR="004C4E9E" w:rsidRPr="004C4E9E">
              <w:t xml:space="preserve">ozporządzenie Ministra Infrastruktury w sprawie wymagań technicznych i eksploatacyjnych dla lotnisk, którym przyznano zwolnienie </w:t>
            </w:r>
            <w:r w:rsidR="00D414DB">
              <w:t>ze</w:t>
            </w:r>
            <w:r w:rsidR="00D414DB" w:rsidRPr="004C4E9E">
              <w:t xml:space="preserve"> </w:t>
            </w:r>
            <w:r w:rsidR="004C4E9E" w:rsidRPr="004C4E9E">
              <w:t>stosowania przepisów Unii Europejskiej</w:t>
            </w:r>
            <w:r w:rsidR="00C51A7C">
              <w:t>,</w:t>
            </w:r>
            <w:r w:rsidR="004C4E9E" w:rsidRPr="004C4E9E">
              <w:t xml:space="preserve"> oraz lotnisk dla śmigłowców, o których mowa w przepisach Unii Europejskiej</w:t>
            </w:r>
          </w:p>
          <w:p w:rsidR="004C4E9E" w:rsidRPr="00FB53A1" w:rsidRDefault="004C4E9E" w:rsidP="004C4E9E">
            <w:pPr>
              <w:rPr>
                <w:rStyle w:val="Ppogrubienie"/>
              </w:rPr>
            </w:pPr>
            <w:r w:rsidRPr="00FB53A1">
              <w:rPr>
                <w:rStyle w:val="Ppogrubienie"/>
              </w:rPr>
              <w:t>Ministerstwo wiodące i ministerstwa współpracujące</w:t>
            </w:r>
          </w:p>
          <w:bookmarkEnd w:id="2"/>
          <w:p w:rsidR="004C4E9E" w:rsidRPr="004C4E9E" w:rsidRDefault="004C4E9E" w:rsidP="004C4E9E">
            <w:r w:rsidRPr="00564140">
              <w:t xml:space="preserve">Ministerstwo Infrastruktury </w:t>
            </w:r>
          </w:p>
          <w:p w:rsidR="004C4E9E" w:rsidRPr="00FB53A1" w:rsidRDefault="004C4E9E" w:rsidP="004C4E9E">
            <w:pPr>
              <w:rPr>
                <w:rStyle w:val="Ppogrubienie"/>
              </w:rPr>
            </w:pPr>
            <w:r w:rsidRPr="00FB53A1">
              <w:rPr>
                <w:rStyle w:val="Ppogrubienie"/>
              </w:rPr>
              <w:t xml:space="preserve">Osoba odpowiedzialna za projekt w randze Ministra, Sekretarza Stanu lub Podsekretarza Stanu </w:t>
            </w:r>
          </w:p>
          <w:p w:rsidR="004C4E9E" w:rsidRPr="004C4E9E" w:rsidRDefault="000B7716" w:rsidP="004C4E9E">
            <w:r>
              <w:t xml:space="preserve">Mikołaj Wild </w:t>
            </w:r>
            <w:r w:rsidR="006111B9" w:rsidRPr="006111B9">
              <w:t>–</w:t>
            </w:r>
            <w:r>
              <w:t xml:space="preserve"> Sekretarz Stanu w MI</w:t>
            </w:r>
          </w:p>
          <w:p w:rsidR="004C4E9E" w:rsidRPr="00FB53A1" w:rsidRDefault="004C4E9E" w:rsidP="004C4E9E">
            <w:pPr>
              <w:rPr>
                <w:rStyle w:val="Ppogrubienie"/>
              </w:rPr>
            </w:pPr>
            <w:r w:rsidRPr="00FB53A1">
              <w:rPr>
                <w:rStyle w:val="Ppogrubienie"/>
              </w:rPr>
              <w:t>Kontakt do opiekuna merytorycznego projektu</w:t>
            </w:r>
          </w:p>
          <w:p w:rsidR="004C4E9E" w:rsidRDefault="000B7716" w:rsidP="004C4E9E">
            <w:r>
              <w:t>Jakub Woźniak, specjalista w Departamencie Lotnictwa MI</w:t>
            </w:r>
          </w:p>
          <w:p w:rsidR="000B7716" w:rsidRPr="0050176A" w:rsidRDefault="000B7716" w:rsidP="0050176A">
            <w:pPr>
              <w:rPr>
                <w:lang w:val="en-US"/>
              </w:rPr>
            </w:pPr>
            <w:r w:rsidRPr="0050176A">
              <w:rPr>
                <w:lang w:val="en-US"/>
              </w:rPr>
              <w:t xml:space="preserve">tel.: 22 630 13 22, e-mail: </w:t>
            </w:r>
            <w:smartTag w:uri="urn:schemas-microsoft-com:office:smarttags" w:element="PersonName">
              <w:r w:rsidR="0050176A" w:rsidRPr="003D0295">
                <w:rPr>
                  <w:lang w:val="en-US"/>
                </w:rPr>
                <w:t>J</w:t>
              </w:r>
              <w:r w:rsidR="0050176A" w:rsidRPr="0050176A">
                <w:rPr>
                  <w:lang w:val="en-US"/>
                </w:rPr>
                <w:t>akub</w:t>
              </w:r>
              <w:r w:rsidRPr="0050176A">
                <w:rPr>
                  <w:lang w:val="en-US"/>
                </w:rPr>
                <w:t>.</w:t>
              </w:r>
              <w:r w:rsidR="0050176A" w:rsidRPr="003D0295">
                <w:rPr>
                  <w:lang w:val="en-US"/>
                </w:rPr>
                <w:t>W</w:t>
              </w:r>
              <w:r w:rsidR="0050176A" w:rsidRPr="0050176A">
                <w:rPr>
                  <w:lang w:val="en-US"/>
                </w:rPr>
                <w:t>ozniak</w:t>
              </w:r>
              <w:r w:rsidRPr="0050176A">
                <w:rPr>
                  <w:lang w:val="en-US"/>
                </w:rPr>
                <w:t>@mi.gov.pl</w:t>
              </w:r>
            </w:smartTag>
          </w:p>
        </w:tc>
        <w:tc>
          <w:tcPr>
            <w:tcW w:w="1809" w:type="pct"/>
            <w:gridSpan w:val="11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FB53A1" w:rsidRDefault="004C4E9E" w:rsidP="004C4E9E">
            <w:pPr>
              <w:rPr>
                <w:rStyle w:val="Ppogrubienie"/>
              </w:rPr>
            </w:pPr>
            <w:r w:rsidRPr="00FB53A1">
              <w:rPr>
                <w:rStyle w:val="Ppogrubienie"/>
              </w:rPr>
              <w:t>Data sporządzenia</w:t>
            </w:r>
          </w:p>
          <w:p w:rsidR="004C4E9E" w:rsidRPr="004C4E9E" w:rsidRDefault="003B5969" w:rsidP="004C4E9E">
            <w:r>
              <w:t>19</w:t>
            </w:r>
            <w:r w:rsidR="004C4E9E" w:rsidRPr="004C4E9E">
              <w:t xml:space="preserve"> </w:t>
            </w:r>
            <w:r>
              <w:t>luty</w:t>
            </w:r>
            <w:r w:rsidR="004C4E9E" w:rsidRPr="004C4E9E">
              <w:t xml:space="preserve"> 201</w:t>
            </w:r>
            <w:r w:rsidR="000F541B">
              <w:t>9</w:t>
            </w:r>
            <w:r w:rsidR="004C4E9E" w:rsidRPr="004C4E9E">
              <w:t xml:space="preserve"> r.</w:t>
            </w:r>
          </w:p>
          <w:p w:rsidR="004C4E9E" w:rsidRPr="004C4E9E" w:rsidRDefault="004C4E9E" w:rsidP="004C4E9E"/>
          <w:p w:rsidR="004C4E9E" w:rsidRPr="00FB53A1" w:rsidRDefault="004C4E9E" w:rsidP="004C4E9E">
            <w:pPr>
              <w:rPr>
                <w:rStyle w:val="Ppogrubienie"/>
              </w:rPr>
            </w:pPr>
            <w:r w:rsidRPr="00FB53A1">
              <w:rPr>
                <w:rStyle w:val="Ppogrubienie"/>
              </w:rPr>
              <w:t xml:space="preserve">Źródło: </w:t>
            </w:r>
            <w:bookmarkStart w:id="3" w:name="Lista1"/>
          </w:p>
          <w:bookmarkEnd w:id="3"/>
          <w:p w:rsidR="004C4E9E" w:rsidRPr="004C4E9E" w:rsidRDefault="004C4E9E" w:rsidP="004C4E9E">
            <w:r w:rsidRPr="00564140">
              <w:t>Art. 59a ust. 5 ustawy z dnia 3 lipca 2002 r. – Prawo lotnicze (</w:t>
            </w:r>
            <w:r w:rsidRPr="004C4E9E">
              <w:t xml:space="preserve">Dz. U. z 2018 r. poz. 1183, </w:t>
            </w:r>
            <w:r w:rsidR="00D414DB">
              <w:t>z późn. zm.</w:t>
            </w:r>
            <w:r w:rsidRPr="004C4E9E">
              <w:t>)</w:t>
            </w:r>
          </w:p>
          <w:p w:rsidR="004C4E9E" w:rsidRPr="00564140" w:rsidRDefault="004C4E9E" w:rsidP="004C4E9E"/>
          <w:p w:rsidR="004C4E9E" w:rsidRPr="004C4E9E" w:rsidRDefault="004C4E9E" w:rsidP="004C4E9E">
            <w:r w:rsidRPr="00FB53A1">
              <w:rPr>
                <w:rStyle w:val="Ppogrubienie"/>
              </w:rPr>
              <w:t>Nr w wykazie prac legislacyjnych</w:t>
            </w:r>
            <w:r w:rsidRPr="004C4E9E">
              <w:t xml:space="preserve"> MI</w:t>
            </w:r>
            <w:r w:rsidR="00DF7051">
              <w:t xml:space="preserve"> poz. 262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FB53A1" w:rsidRDefault="007F4E81" w:rsidP="00FB53A1">
            <w:pPr>
              <w:pStyle w:val="TYTDZOZNoznaczenietytuulubdziau"/>
              <w:rPr>
                <w:rStyle w:val="IDPindeksdolnyipogrubienie"/>
              </w:rPr>
            </w:pPr>
            <w:r w:rsidRPr="00DF7051">
              <w:rPr>
                <w:rStyle w:val="Ppogrubienie"/>
              </w:rPr>
              <w:t>OCENA SKUTKÓW REGULACJI</w:t>
            </w:r>
          </w:p>
        </w:tc>
      </w:tr>
      <w:tr w:rsidR="004C4E9E" w:rsidRPr="00564140" w:rsidTr="00FB53A1">
        <w:trPr>
          <w:trHeight w:val="333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FB2CB5" w:rsidP="004C4E9E">
            <w:pPr>
              <w:rPr>
                <w:rStyle w:val="Ppogrubienie"/>
              </w:rPr>
            </w:pPr>
            <w:r>
              <w:rPr>
                <w:rStyle w:val="Ppogrubienie"/>
              </w:rPr>
              <w:t xml:space="preserve">1. </w:t>
            </w:r>
            <w:r w:rsidR="004C4E9E" w:rsidRPr="00FB53A1">
              <w:rPr>
                <w:rStyle w:val="Ppogrubienie"/>
              </w:rPr>
              <w:t>Jaki problem jest rozwiązywany?</w:t>
            </w:r>
            <w:bookmarkStart w:id="4" w:name="Wybór1"/>
            <w:bookmarkEnd w:id="4"/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F56BAE">
            <w:r w:rsidRPr="00564140">
              <w:t xml:space="preserve">Wymóg legislacyjny – </w:t>
            </w:r>
            <w:r w:rsidRPr="004C4E9E">
              <w:t xml:space="preserve">związany ze zmianą </w:t>
            </w:r>
            <w:r w:rsidR="00060FEE">
              <w:t>upoważnienia ustawowego</w:t>
            </w:r>
            <w:r w:rsidR="00060FEE" w:rsidRPr="004C4E9E">
              <w:t xml:space="preserve"> </w:t>
            </w:r>
            <w:r w:rsidR="00FB2CB5">
              <w:t>zawartego w</w:t>
            </w:r>
            <w:r w:rsidR="00FB2CB5" w:rsidRPr="004C4E9E">
              <w:t xml:space="preserve"> </w:t>
            </w:r>
            <w:r w:rsidRPr="004C4E9E">
              <w:t xml:space="preserve">art. 59a ust. 5 ustawy – Prawo lotnicze oraz </w:t>
            </w:r>
            <w:r w:rsidR="00FB2CB5">
              <w:t xml:space="preserve">dodaniem w ustawie nowego upoważnienia ustawowego </w:t>
            </w:r>
            <w:r w:rsidR="00FB2CB5" w:rsidRPr="004C4E9E">
              <w:t xml:space="preserve"> </w:t>
            </w:r>
            <w:r w:rsidRPr="004C4E9E">
              <w:t xml:space="preserve">w art. 187a. 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FB2CB5" w:rsidP="004C4E9E">
            <w:pPr>
              <w:rPr>
                <w:rStyle w:val="Ppogrubienie"/>
              </w:rPr>
            </w:pPr>
            <w:r>
              <w:rPr>
                <w:rStyle w:val="Ppogrubienie"/>
              </w:rPr>
              <w:t xml:space="preserve">2. </w:t>
            </w:r>
            <w:r w:rsidR="004C4E9E" w:rsidRPr="00FB53A1">
              <w:rPr>
                <w:rStyle w:val="Ppogrubienie"/>
              </w:rPr>
              <w:t>Rekomendowane rozwiązanie, w tym planowane narzędzia interwencji, i oczekiwany efekt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tcMar>
              <w:top w:w="57" w:type="dxa"/>
              <w:left w:w="85" w:type="dxa"/>
              <w:bottom w:w="85" w:type="dxa"/>
              <w:right w:w="85" w:type="dxa"/>
            </w:tcMar>
          </w:tcPr>
          <w:p w:rsidR="004C4E9E" w:rsidRPr="004C4E9E" w:rsidRDefault="00975B74" w:rsidP="004C4E9E">
            <w:r>
              <w:t>Utrata mocy obowiązującej</w:t>
            </w:r>
            <w:r w:rsidR="004C4E9E" w:rsidRPr="00564140">
              <w:t xml:space="preserve"> </w:t>
            </w:r>
            <w:r w:rsidR="004C4E9E" w:rsidRPr="004C4E9E">
              <w:t>rozporządzenia Ministra Infrastruktury z dnia 13 sierpnia 2018 r. w sprawie wymagań technicznych i eksploatacyjnych dla lotnisk użytku publicznego podlegających obowiązkowi certyfikacji (Dz. U. poz. 1661) wydanego na podstawie art. 59a ust. 5 ustawy</w:t>
            </w:r>
            <w:r w:rsidR="00FB53A1">
              <w:t xml:space="preserve"> </w:t>
            </w:r>
            <w:r w:rsidR="00FB53A1" w:rsidRPr="00FB53A1">
              <w:t>–</w:t>
            </w:r>
            <w:r w:rsidR="004C4E9E" w:rsidRPr="004C4E9E">
              <w:t xml:space="preserve"> Prawo lotnicze, oraz wydanie nowego rozporządzenia Ministra Infrastruktury </w:t>
            </w:r>
            <w:r w:rsidR="00F15B31">
              <w:t xml:space="preserve">określającego </w:t>
            </w:r>
            <w:r w:rsidR="00F15B31" w:rsidRPr="004C4E9E">
              <w:t>wymaga</w:t>
            </w:r>
            <w:r w:rsidR="00F15B31">
              <w:t>nia</w:t>
            </w:r>
            <w:r w:rsidR="00F15B31" w:rsidRPr="004C4E9E">
              <w:t xml:space="preserve"> techniczn</w:t>
            </w:r>
            <w:r w:rsidR="00F15B31">
              <w:t>e</w:t>
            </w:r>
            <w:r w:rsidR="00F15B31" w:rsidRPr="004C4E9E">
              <w:t xml:space="preserve"> </w:t>
            </w:r>
            <w:r w:rsidR="004C4E9E" w:rsidRPr="004C4E9E">
              <w:t>i </w:t>
            </w:r>
            <w:r w:rsidR="00F15B31" w:rsidRPr="004C4E9E">
              <w:t>eksploatacyjn</w:t>
            </w:r>
            <w:r w:rsidR="00F15B31">
              <w:t>e</w:t>
            </w:r>
            <w:r w:rsidR="00F15B31" w:rsidRPr="004C4E9E">
              <w:t xml:space="preserve"> </w:t>
            </w:r>
            <w:r w:rsidR="004C4E9E" w:rsidRPr="004C4E9E">
              <w:t xml:space="preserve">dla lotnisk użytku publicznego dla samolotów, którym przyznano zwolnienie </w:t>
            </w:r>
            <w:r w:rsidR="00A6005B">
              <w:t>ze</w:t>
            </w:r>
            <w:r w:rsidR="00A6005B" w:rsidRPr="004C4E9E">
              <w:t xml:space="preserve"> </w:t>
            </w:r>
            <w:r w:rsidR="004C4E9E" w:rsidRPr="004C4E9E">
              <w:t>stosowania przepisów Unii Europejskiej oraz lotnisk użytku publicznego dla śmigłowców, o których mowa w przepisach Unii Europejskiej</w:t>
            </w:r>
            <w:r w:rsidR="00A6005B">
              <w:t>.</w:t>
            </w:r>
          </w:p>
          <w:p w:rsidR="004C4E9E" w:rsidRPr="004C4E9E" w:rsidRDefault="004C4E9E" w:rsidP="001A3EB9">
            <w:r w:rsidRPr="004C4E9E">
              <w:t xml:space="preserve">Wydanie nowego rozporządzenia Ministra Infrastruktury </w:t>
            </w:r>
            <w:r w:rsidR="00A6005B">
              <w:t>na podstawie</w:t>
            </w:r>
            <w:r w:rsidRPr="004C4E9E">
              <w:t xml:space="preserve"> art. 187a</w:t>
            </w:r>
            <w:r w:rsidR="00A6005B">
              <w:t xml:space="preserve"> </w:t>
            </w:r>
            <w:r w:rsidR="00A6005B" w:rsidRPr="00A6005B">
              <w:t>ustawy – Prawo lotnicze</w:t>
            </w:r>
            <w:r w:rsidRPr="004C4E9E">
              <w:t xml:space="preserve"> </w:t>
            </w:r>
            <w:r w:rsidR="00F15B31" w:rsidRPr="004C4E9E">
              <w:t>określa</w:t>
            </w:r>
            <w:r w:rsidR="00F15B31">
              <w:t>jącego</w:t>
            </w:r>
            <w:r w:rsidR="00F15B31" w:rsidRPr="004C4E9E">
              <w:t xml:space="preserve"> </w:t>
            </w:r>
            <w:r w:rsidRPr="004C4E9E">
              <w:t xml:space="preserve">wymagania dotyczące </w:t>
            </w:r>
            <w:r w:rsidR="00F15B31" w:rsidRPr="004C4E9E">
              <w:t>ogrodze</w:t>
            </w:r>
            <w:r w:rsidR="00F15B31">
              <w:t>ń</w:t>
            </w:r>
            <w:r w:rsidR="00F15B31" w:rsidRPr="004C4E9E">
              <w:t xml:space="preserve"> </w:t>
            </w:r>
            <w:r w:rsidRPr="004C4E9E">
              <w:t xml:space="preserve">lotnisk, które dotychczas </w:t>
            </w:r>
            <w:r w:rsidR="00F15B31" w:rsidRPr="00F15B31">
              <w:t xml:space="preserve">były </w:t>
            </w:r>
            <w:r w:rsidRPr="004C4E9E">
              <w:t>ujęte w rozporządzeniu wydawanym na podstawie art. 59a ust. 5 ustawy – Prawo lotnicze.</w:t>
            </w:r>
          </w:p>
        </w:tc>
      </w:tr>
      <w:tr w:rsidR="004C4E9E" w:rsidRPr="00564140" w:rsidTr="00FB53A1">
        <w:trPr>
          <w:trHeight w:val="307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FB2CB5" w:rsidP="004C4E9E">
            <w:pPr>
              <w:rPr>
                <w:rStyle w:val="Ppogrubienie"/>
              </w:rPr>
            </w:pPr>
            <w:r>
              <w:rPr>
                <w:rStyle w:val="Ppogrubienie"/>
              </w:rPr>
              <w:t xml:space="preserve">3. </w:t>
            </w:r>
            <w:r w:rsidR="004C4E9E" w:rsidRPr="00FB53A1">
              <w:rPr>
                <w:rStyle w:val="Ppogrubienie"/>
              </w:rPr>
              <w:t xml:space="preserve">Jak problem został rozwiązany w innych krajach, w szczególności krajach członkowskich OECD/UE? 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F49FF" w:rsidRPr="00CF49FF" w:rsidRDefault="00CF49FF" w:rsidP="00CF49FF">
            <w:r w:rsidRPr="00CF49FF">
              <w:t>Zgodnie z art. 37 Konwencji o międzynarodowym lotnictwie cywilnym, sporządzonej w Chicago dnia 7 grudnia 1944 r.</w:t>
            </w:r>
            <w:r>
              <w:t xml:space="preserve"> </w:t>
            </w:r>
            <w:r w:rsidRPr="00CF49FF">
              <w:t xml:space="preserve">(Dz. U. z 1959 r. </w:t>
            </w:r>
            <w:r w:rsidRPr="00DF7051">
              <w:t>poz. 212</w:t>
            </w:r>
            <w:r w:rsidR="00F031F6">
              <w:t xml:space="preserve"> i 214</w:t>
            </w:r>
            <w:r w:rsidRPr="00CF49FF">
              <w:t>, z późn. zm.),</w:t>
            </w:r>
            <w:r>
              <w:t xml:space="preserve"> </w:t>
            </w:r>
            <w:r w:rsidRPr="00CF49FF">
              <w:t xml:space="preserve">wszystkie Państwa należące do  </w:t>
            </w:r>
            <w:r w:rsidRPr="00CF49FF">
              <w:lastRenderedPageBreak/>
              <w:t xml:space="preserve">Organizacji Międzynarodowego Lotnictwa Cywilnego (ICAO) (188) są obowiązane do wdrożenia, w możliwie największym zakresie, norm i zalecanych metod postępowania zawartych w </w:t>
            </w:r>
            <w:r w:rsidR="00F56BAE">
              <w:t>z</w:t>
            </w:r>
            <w:r w:rsidRPr="00CF49FF">
              <w:t xml:space="preserve">ałącznikach do Konwencji oraz w zmianach wprowadzanych przez ICAO. </w:t>
            </w:r>
          </w:p>
          <w:p w:rsidR="004C4E9E" w:rsidRPr="004C4E9E" w:rsidRDefault="004C4E9E" w:rsidP="004C4E9E">
            <w:r w:rsidRPr="004C4E9E">
              <w:t>Przepisy te wdrażane są w różny sposób, w zależności od systemu prawnego obowiązującego w danym kraju.</w:t>
            </w:r>
          </w:p>
        </w:tc>
      </w:tr>
      <w:tr w:rsidR="004C4E9E" w:rsidRPr="00564140" w:rsidTr="00FB53A1">
        <w:trPr>
          <w:trHeight w:val="359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FB2CB5" w:rsidP="004C4E9E">
            <w:pPr>
              <w:rPr>
                <w:rStyle w:val="Ppogrubienie"/>
              </w:rPr>
            </w:pPr>
            <w:r>
              <w:rPr>
                <w:rStyle w:val="Ppogrubienie"/>
              </w:rPr>
              <w:lastRenderedPageBreak/>
              <w:t xml:space="preserve">4. </w:t>
            </w:r>
            <w:r w:rsidR="004C4E9E" w:rsidRPr="00FB53A1">
              <w:rPr>
                <w:rStyle w:val="Ppogrubienie"/>
              </w:rPr>
              <w:t>Podmioty, na które oddziałuje projekt</w:t>
            </w:r>
          </w:p>
        </w:tc>
      </w:tr>
      <w:tr w:rsidR="006952DA" w:rsidRPr="00564140" w:rsidTr="00FB53A1">
        <w:trPr>
          <w:trHeight w:val="142"/>
        </w:trPr>
        <w:tc>
          <w:tcPr>
            <w:tcW w:w="1227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Grupa</w:t>
            </w:r>
          </w:p>
        </w:tc>
        <w:tc>
          <w:tcPr>
            <w:tcW w:w="1296" w:type="pct"/>
            <w:gridSpan w:val="8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Wielkość</w:t>
            </w:r>
          </w:p>
        </w:tc>
        <w:tc>
          <w:tcPr>
            <w:tcW w:w="1090" w:type="pct"/>
            <w:gridSpan w:val="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 xml:space="preserve">Źródło danych </w:t>
            </w:r>
          </w:p>
        </w:tc>
        <w:tc>
          <w:tcPr>
            <w:tcW w:w="1387" w:type="pct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Oddziaływanie</w:t>
            </w:r>
          </w:p>
        </w:tc>
      </w:tr>
      <w:tr w:rsidR="006952DA" w:rsidRPr="00564140" w:rsidTr="00FB53A1">
        <w:trPr>
          <w:trHeight w:val="142"/>
        </w:trPr>
        <w:tc>
          <w:tcPr>
            <w:tcW w:w="1227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Prezes Urzędu Lotnictwa Cywilnego</w:t>
            </w:r>
          </w:p>
        </w:tc>
        <w:tc>
          <w:tcPr>
            <w:tcW w:w="1296" w:type="pct"/>
            <w:gridSpan w:val="8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1</w:t>
            </w:r>
          </w:p>
        </w:tc>
        <w:tc>
          <w:tcPr>
            <w:tcW w:w="1090" w:type="pct"/>
            <w:gridSpan w:val="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6952DA" w:rsidP="004C4E9E">
            <w:r>
              <w:t>Ustaw</w:t>
            </w:r>
            <w:r w:rsidR="00AA3B00">
              <w:t>a</w:t>
            </w:r>
            <w:r>
              <w:t xml:space="preserve"> z dnia 3 lipca 2002 r. </w:t>
            </w:r>
            <w:r w:rsidR="00C52994" w:rsidRPr="00C52994">
              <w:t>–</w:t>
            </w:r>
            <w:r>
              <w:t xml:space="preserve"> Prawo lotnicze</w:t>
            </w:r>
          </w:p>
        </w:tc>
        <w:tc>
          <w:tcPr>
            <w:tcW w:w="1387" w:type="pct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Bez zmian</w:t>
            </w:r>
          </w:p>
        </w:tc>
      </w:tr>
      <w:tr w:rsidR="006952DA" w:rsidRPr="00564140" w:rsidTr="00FB53A1">
        <w:trPr>
          <w:trHeight w:val="142"/>
        </w:trPr>
        <w:tc>
          <w:tcPr>
            <w:tcW w:w="1227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A3EB9" w:rsidRDefault="004C4E9E" w:rsidP="008F785E">
            <w:r w:rsidRPr="004C4E9E">
              <w:t xml:space="preserve">Lotniska użytku publicznego podlegające obowiązkowi certyfikacji, o których mowa w art. 2 ust. 7 rozporządzenia </w:t>
            </w:r>
            <w:r w:rsidR="008F785E" w:rsidRPr="008F785E">
              <w:t xml:space="preserve">Parlamentu Europejskiego i Rady (UE) 2018/1139 z dnia 4 lipca 2018 r. w sprawie wspólnych zasad w dziedzinie lotnictwa cywilnego i utworzenia Agencji Unii Europejskiej ds. Bezpieczeństwa Lotniczego oraz zmieniającego rozporządzenia Parlamentu Europejskiego i Rady (WE) nr 2111/2005, (WE) nr 1008/2008, (UE) nr 996/2010, (UE) nr 376/2014 i dyrektywy Parlamentu Europejskiego i Rady 2014/30/UE i 2014/53/UE, a także </w:t>
            </w:r>
            <w:r w:rsidR="008F785E" w:rsidRPr="008F785E">
              <w:lastRenderedPageBreak/>
              <w:t>uchylającego rozporządzenia Parlamentu Europejskiego i Rady (WE) nr 552/2004 i (WE) nr 216/2008 i rozporządzenie Rady (EWG) nr 3922/91 (Dz. Urz. UE L 212 z 22.08.2018, str. 1)</w:t>
            </w:r>
            <w:r w:rsidR="00B55414">
              <w:t xml:space="preserve">, zwanego dalej </w:t>
            </w:r>
            <w:r w:rsidR="00D57899" w:rsidRPr="00D57899">
              <w:t>„</w:t>
            </w:r>
            <w:r w:rsidR="00B55414">
              <w:t>rozporządzeniem nr 2018/1139</w:t>
            </w:r>
            <w:r w:rsidR="00D57899" w:rsidRPr="00D57899">
              <w:t>”</w:t>
            </w:r>
          </w:p>
          <w:p w:rsidR="001A3EB9" w:rsidRDefault="001A3EB9" w:rsidP="008F785E"/>
          <w:p w:rsidR="004C4E9E" w:rsidRPr="004C4E9E" w:rsidRDefault="004C4E9E" w:rsidP="00B55414">
            <w:r w:rsidRPr="00564140">
              <w:t>Lotniska dla śmigłowców</w:t>
            </w:r>
            <w:r w:rsidR="00AA3B00">
              <w:t>,</w:t>
            </w:r>
            <w:r w:rsidRPr="004C4E9E">
              <w:t xml:space="preserve"> o których mowa w </w:t>
            </w:r>
            <w:r w:rsidR="008F785E" w:rsidRPr="008F785E">
              <w:t xml:space="preserve">art. 2 ust. 1 lit. e rozporządzenia </w:t>
            </w:r>
            <w:r w:rsidR="00B55414">
              <w:t xml:space="preserve">nr </w:t>
            </w:r>
            <w:r w:rsidR="008F785E" w:rsidRPr="008F785E">
              <w:t>2018/1139</w:t>
            </w:r>
          </w:p>
        </w:tc>
        <w:tc>
          <w:tcPr>
            <w:tcW w:w="1296" w:type="pct"/>
            <w:gridSpan w:val="8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B55414">
            <w:r w:rsidRPr="004C4E9E">
              <w:lastRenderedPageBreak/>
              <w:t>Obecnie ty</w:t>
            </w:r>
            <w:r w:rsidR="00AA3B00">
              <w:t>l</w:t>
            </w:r>
            <w:r w:rsidRPr="004C4E9E">
              <w:t>ko jedno lotnisko posiada odstępstwo</w:t>
            </w:r>
            <w:r w:rsidR="006952DA">
              <w:t>, o którym mowa w</w:t>
            </w:r>
            <w:r w:rsidRPr="004C4E9E">
              <w:t xml:space="preserve"> </w:t>
            </w:r>
            <w:r w:rsidR="00B15202" w:rsidRPr="004C4E9E">
              <w:t xml:space="preserve">art. 2 ust. 7 rozporządzenia </w:t>
            </w:r>
            <w:r w:rsidR="00B55414">
              <w:t xml:space="preserve">nr </w:t>
            </w:r>
            <w:r w:rsidR="00B15202" w:rsidRPr="008F785E">
              <w:t>2018/1139</w:t>
            </w:r>
            <w:r w:rsidR="001A3EB9">
              <w:t>,</w:t>
            </w:r>
            <w:r w:rsidR="00B15202" w:rsidRPr="008F785E">
              <w:t xml:space="preserve"> </w:t>
            </w:r>
            <w:r w:rsidRPr="004C4E9E">
              <w:t>tj. Port Lotniczy Radom - Sadków</w:t>
            </w:r>
          </w:p>
        </w:tc>
        <w:tc>
          <w:tcPr>
            <w:tcW w:w="1090" w:type="pct"/>
            <w:gridSpan w:val="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AA3B00">
            <w:r w:rsidRPr="004C4E9E">
              <w:t xml:space="preserve">Rejestr lotnisk cywilnych i rejestr </w:t>
            </w:r>
            <w:r w:rsidR="00AA3B00" w:rsidRPr="00AA3B00">
              <w:t xml:space="preserve">certyfikatów </w:t>
            </w:r>
            <w:r w:rsidRPr="004C4E9E">
              <w:t>wydanych przez Prezesa Urzędu Lotnictwa Cywilnego</w:t>
            </w:r>
          </w:p>
        </w:tc>
        <w:tc>
          <w:tcPr>
            <w:tcW w:w="1387" w:type="pct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Bez zmian</w:t>
            </w:r>
          </w:p>
        </w:tc>
      </w:tr>
      <w:tr w:rsidR="004C4E9E" w:rsidRPr="00564140" w:rsidTr="00FB53A1">
        <w:trPr>
          <w:trHeight w:val="302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FB2CB5" w:rsidP="004C4E9E">
            <w:pPr>
              <w:rPr>
                <w:rStyle w:val="Ppogrubienie"/>
              </w:rPr>
            </w:pPr>
            <w:r>
              <w:rPr>
                <w:rStyle w:val="Ppogrubienie"/>
              </w:rPr>
              <w:lastRenderedPageBreak/>
              <w:t xml:space="preserve">5. </w:t>
            </w:r>
            <w:r w:rsidR="004C4E9E" w:rsidRPr="00FB53A1">
              <w:rPr>
                <w:rStyle w:val="Ppogrubienie"/>
              </w:rPr>
              <w:t>Informacje na temat zakresu, czasu trwania i podsumowanie wyników konsultacji</w:t>
            </w:r>
          </w:p>
        </w:tc>
      </w:tr>
      <w:tr w:rsidR="004C4E9E" w:rsidRPr="00564140" w:rsidTr="00FB53A1">
        <w:trPr>
          <w:trHeight w:val="342"/>
        </w:trPr>
        <w:tc>
          <w:tcPr>
            <w:tcW w:w="5000" w:type="pct"/>
            <w:gridSpan w:val="26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4A88" w:rsidRPr="004C4E9E" w:rsidRDefault="006B3B18" w:rsidP="00EC4A88">
            <w:r>
              <w:t>K</w:t>
            </w:r>
            <w:r w:rsidR="004C4E9E" w:rsidRPr="004C4E9E">
              <w:t xml:space="preserve">onsultacje </w:t>
            </w:r>
            <w:r>
              <w:t xml:space="preserve">publiczne </w:t>
            </w:r>
            <w:r w:rsidR="004C4E9E" w:rsidRPr="004C4E9E">
              <w:t xml:space="preserve">zostaną przeprowadzone zgodnie z trybem przewidzianym w </w:t>
            </w:r>
            <w:r w:rsidR="00582402" w:rsidRPr="00582402">
              <w:t>uchwa</w:t>
            </w:r>
            <w:r w:rsidR="00582402">
              <w:t>le</w:t>
            </w:r>
            <w:r w:rsidR="00582402" w:rsidRPr="00582402">
              <w:t xml:space="preserve"> nr 190 Rady Ministrów z dnia 29 października 2013 r. – Regulamin pracy Rady Ministrów (M. P. z 2016 r. poz. 1006, z późn. zm.).</w:t>
            </w:r>
            <w:r w:rsidR="00EC4A88">
              <w:t xml:space="preserve"> </w:t>
            </w:r>
            <w:r w:rsidR="00EC4A88" w:rsidRPr="004E6D13">
              <w:t>Treść projektu zostanie podana do publicznej wiadomości przez zamieszczenie, zgodnie z art. 5 ustawy z dnia 7 lipca 2005 r. o działalności lobbingowej w procesie stanowienia prawa (Dz. U. z 2017 r. poz. 248)</w:t>
            </w:r>
            <w:r w:rsidR="00582402">
              <w:t xml:space="preserve"> i </w:t>
            </w:r>
            <w:r w:rsidR="00582402" w:rsidRPr="00582402">
              <w:t>§ 52 uchwały nr 190 Rady Ministrów z dnia 29 października 2013 r. – Regulamin pracy Rady Ministrów</w:t>
            </w:r>
            <w:r w:rsidR="00EC4A88" w:rsidRPr="004E6D13">
              <w:t>, w Biuletynie Informacji Publicznej, na stronie podmiotowej Rządowego Centrum Legislacji, w serwisie Rządowy Proces Legislacyjny.</w:t>
            </w:r>
          </w:p>
          <w:p w:rsidR="004C4E9E" w:rsidRPr="006B3B18" w:rsidRDefault="00EC4A88" w:rsidP="00FB53A1">
            <w:r>
              <w:t>I</w:t>
            </w:r>
            <w:r w:rsidR="006B3B18">
              <w:t xml:space="preserve">nformacja o udostępnieniu projektu zostanie przekazana do </w:t>
            </w:r>
            <w:r w:rsidR="004C4E9E" w:rsidRPr="004C4E9E">
              <w:t>następując</w:t>
            </w:r>
            <w:r w:rsidR="006B3B18">
              <w:t>ych</w:t>
            </w:r>
            <w:r w:rsidR="004C4E9E" w:rsidRPr="004C4E9E">
              <w:t xml:space="preserve"> podmiot</w:t>
            </w:r>
            <w:r w:rsidR="006B3B18">
              <w:t>ów</w:t>
            </w:r>
            <w:r w:rsidR="004C4E9E" w:rsidRPr="004C4E9E">
              <w:t>:</w:t>
            </w:r>
          </w:p>
          <w:p w:rsidR="0066230D" w:rsidRPr="00FB53A1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>1)</w:t>
            </w:r>
            <w:r w:rsidRPr="006B3B18">
              <w:rPr>
                <w:lang w:val="pl-PL"/>
              </w:rPr>
              <w:t xml:space="preserve"> </w:t>
            </w:r>
            <w:r w:rsidRPr="00FB53A1">
              <w:rPr>
                <w:lang w:val="pl-PL"/>
              </w:rPr>
              <w:t>Przedsiębiorstwo Państwowe „Porty Lotnicze”, ul. Żwirki i Wigury 1, 00-906 Warszawa;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FB53A1">
              <w:rPr>
                <w:lang w:val="pl-PL"/>
              </w:rPr>
              <w:t xml:space="preserve">2) </w:t>
            </w:r>
            <w:r w:rsidR="004C4E9E" w:rsidRPr="004C4E9E">
              <w:rPr>
                <w:lang w:val="pl-PL"/>
              </w:rPr>
              <w:t xml:space="preserve">Port Lotniczy Gdańsk </w:t>
            </w:r>
            <w:r w:rsidR="008D269F" w:rsidRPr="008D269F">
              <w:rPr>
                <w:lang w:val="pl-PL"/>
              </w:rPr>
              <w:t>S</w:t>
            </w:r>
            <w:r w:rsidR="008D269F" w:rsidRPr="004F5C2D">
              <w:rPr>
                <w:lang w:val="pl-PL"/>
              </w:rPr>
              <w:t>p. z o.o.</w:t>
            </w:r>
            <w:r w:rsidR="004C4E9E" w:rsidRPr="004C4E9E">
              <w:rPr>
                <w:lang w:val="pl-PL"/>
              </w:rPr>
              <w:t>, ul. Słowackiego 200, 80-298 Gdańsk;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 xml:space="preserve">3) </w:t>
            </w:r>
            <w:r w:rsidR="004C4E9E" w:rsidRPr="004C4E9E">
              <w:rPr>
                <w:lang w:val="pl-PL"/>
              </w:rPr>
              <w:t>Międzynarodowy Port Lotniczy Katowice w Pyrzowicach, ul. Wolności 90, 42-625 Ożarowice;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 xml:space="preserve">4) </w:t>
            </w:r>
            <w:r w:rsidR="004C4E9E" w:rsidRPr="004C4E9E">
              <w:rPr>
                <w:lang w:val="pl-PL"/>
              </w:rPr>
              <w:t>Międzynarodowy Port Lotniczy im. Jana Pawła II</w:t>
            </w:r>
            <w:r w:rsidR="008D269F" w:rsidRPr="004F5C2D">
              <w:rPr>
                <w:lang w:val="pl-PL"/>
              </w:rPr>
              <w:t xml:space="preserve"> Kraków-Balice Sp. z o.o.</w:t>
            </w:r>
            <w:r w:rsidR="004C4E9E" w:rsidRPr="004C4E9E">
              <w:rPr>
                <w:lang w:val="pl-PL"/>
              </w:rPr>
              <w:t>, ul. Kpt. M. Medweckiego 1, 32-083 Balice;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FB53A1">
              <w:rPr>
                <w:lang w:val="pl-PL"/>
              </w:rPr>
              <w:t xml:space="preserve">5) </w:t>
            </w:r>
            <w:r w:rsidR="004C4E9E" w:rsidRPr="004C4E9E">
              <w:rPr>
                <w:lang w:val="pl-PL"/>
              </w:rPr>
              <w:t>Port Lotniczy Poznań-Ławica</w:t>
            </w:r>
            <w:r w:rsidR="008D269F" w:rsidRPr="004F5C2D">
              <w:rPr>
                <w:lang w:val="pl-PL"/>
              </w:rPr>
              <w:t xml:space="preserve"> Sp. z o.o.</w:t>
            </w:r>
            <w:r w:rsidR="004C4E9E" w:rsidRPr="004C4E9E">
              <w:rPr>
                <w:lang w:val="pl-PL"/>
              </w:rPr>
              <w:t>, ul. Bukowska 285, 60-189 Poznań;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 xml:space="preserve">6) </w:t>
            </w:r>
            <w:r w:rsidR="004C4E9E" w:rsidRPr="004C4E9E">
              <w:rPr>
                <w:lang w:val="pl-PL"/>
              </w:rPr>
              <w:t>Port Lotniczy Łódź im. Władysława Reymonta</w:t>
            </w:r>
            <w:r w:rsidR="008D269F" w:rsidRPr="004F5C2D">
              <w:rPr>
                <w:lang w:val="pl-PL"/>
              </w:rPr>
              <w:t xml:space="preserve"> Sp. z o.o.</w:t>
            </w:r>
            <w:r w:rsidR="004C4E9E" w:rsidRPr="004C4E9E">
              <w:rPr>
                <w:lang w:val="pl-PL"/>
              </w:rPr>
              <w:t>, ul. Gen. S. Maczka 35, 94-328 Łódź;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 xml:space="preserve">7) </w:t>
            </w:r>
            <w:r w:rsidR="004C4E9E" w:rsidRPr="004C4E9E">
              <w:rPr>
                <w:lang w:val="pl-PL"/>
              </w:rPr>
              <w:t>Port Lotniczy Rzeszów - Jasionka</w:t>
            </w:r>
            <w:r w:rsidR="008D269F" w:rsidRPr="004F5C2D">
              <w:rPr>
                <w:lang w:val="pl-PL"/>
              </w:rPr>
              <w:t xml:space="preserve"> Sp. z o.o.</w:t>
            </w:r>
            <w:r w:rsidR="004C4E9E" w:rsidRPr="004C4E9E">
              <w:rPr>
                <w:lang w:val="pl-PL"/>
              </w:rPr>
              <w:t>, Jasionka 942, 36-002 Jasionka;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 xml:space="preserve">8) </w:t>
            </w:r>
            <w:r w:rsidR="004C4E9E" w:rsidRPr="004C4E9E">
              <w:rPr>
                <w:lang w:val="pl-PL"/>
              </w:rPr>
              <w:t>Port Lotniczy Szczecin - Goleniów</w:t>
            </w:r>
            <w:r w:rsidR="008D269F" w:rsidRPr="008D269F">
              <w:rPr>
                <w:rFonts w:eastAsiaTheme="minorHAnsi" w:cstheme="minorBidi"/>
                <w:bCs w:val="0"/>
                <w:sz w:val="24"/>
                <w:lang w:val="pl-PL"/>
              </w:rPr>
              <w:t xml:space="preserve"> </w:t>
            </w:r>
            <w:r w:rsidR="008D269F" w:rsidRPr="008D269F">
              <w:rPr>
                <w:lang w:val="pl-PL"/>
              </w:rPr>
              <w:t>Sp. z o.o.</w:t>
            </w:r>
            <w:r w:rsidR="004C4E9E" w:rsidRPr="004C4E9E">
              <w:rPr>
                <w:lang w:val="pl-PL"/>
              </w:rPr>
              <w:t>, Glewice, 72-100 Goleniów;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 xml:space="preserve">9) </w:t>
            </w:r>
            <w:r w:rsidR="004C4E9E" w:rsidRPr="004C4E9E">
              <w:rPr>
                <w:lang w:val="pl-PL"/>
              </w:rPr>
              <w:t>Port Lotniczy Wrocław S.A., ul. Graniczna 190, 54-530 Wrocław;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 xml:space="preserve">10) </w:t>
            </w:r>
            <w:r w:rsidR="004C4E9E" w:rsidRPr="004C4E9E">
              <w:rPr>
                <w:lang w:val="pl-PL"/>
              </w:rPr>
              <w:t>Port Lotniczy Zielona Góra - Babimost, skr. poczt. 4, 66-110 Babimost;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 xml:space="preserve">11) </w:t>
            </w:r>
            <w:r w:rsidR="008D269F" w:rsidRPr="004F5C2D">
              <w:rPr>
                <w:lang w:val="pl-PL"/>
              </w:rPr>
              <w:t xml:space="preserve">Mazowiecki </w:t>
            </w:r>
            <w:r w:rsidR="004C4E9E" w:rsidRPr="004C4E9E">
              <w:rPr>
                <w:lang w:val="pl-PL"/>
              </w:rPr>
              <w:t>Port Lotniczy Warszawa - Modlin</w:t>
            </w:r>
            <w:r w:rsidR="008D269F" w:rsidRPr="004F5C2D">
              <w:rPr>
                <w:lang w:val="pl-PL"/>
              </w:rPr>
              <w:t xml:space="preserve"> </w:t>
            </w:r>
            <w:r w:rsidR="008D269F" w:rsidRPr="008D269F">
              <w:rPr>
                <w:lang w:val="pl-PL"/>
              </w:rPr>
              <w:t>Sp. z o.o.</w:t>
            </w:r>
            <w:r w:rsidR="004C4E9E" w:rsidRPr="004C4E9E">
              <w:rPr>
                <w:lang w:val="pl-PL"/>
              </w:rPr>
              <w:t xml:space="preserve">, ul. Gen. W. Thommee 1A, 05-105 Nowy </w:t>
            </w:r>
            <w:r w:rsidR="004C4E9E" w:rsidRPr="004C4E9E">
              <w:rPr>
                <w:lang w:val="pl-PL"/>
              </w:rPr>
              <w:lastRenderedPageBreak/>
              <w:t>Dwór Mazowiecki;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 xml:space="preserve">12) </w:t>
            </w:r>
            <w:r w:rsidR="004C4E9E" w:rsidRPr="004C4E9E">
              <w:rPr>
                <w:lang w:val="pl-PL"/>
              </w:rPr>
              <w:t>Port Lotniczy Lublin S</w:t>
            </w:r>
            <w:r w:rsidR="007E17CA" w:rsidRPr="004F5C2D">
              <w:rPr>
                <w:lang w:val="pl-PL"/>
              </w:rPr>
              <w:t>.</w:t>
            </w:r>
            <w:r w:rsidR="004C4E9E" w:rsidRPr="004C4E9E">
              <w:rPr>
                <w:lang w:val="pl-PL"/>
              </w:rPr>
              <w:t>A</w:t>
            </w:r>
            <w:r w:rsidR="007E17CA" w:rsidRPr="004F5C2D">
              <w:rPr>
                <w:lang w:val="pl-PL"/>
              </w:rPr>
              <w:t>.</w:t>
            </w:r>
            <w:r w:rsidR="004C4E9E" w:rsidRPr="004C4E9E">
              <w:rPr>
                <w:lang w:val="pl-PL"/>
              </w:rPr>
              <w:t>, ul. Króla Jana III Sobieskiego 1, 21-040 Świdnik;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>1</w:t>
            </w:r>
            <w:r w:rsidR="00635B6E" w:rsidRPr="00635B6E">
              <w:rPr>
                <w:lang w:val="pl-PL"/>
              </w:rPr>
              <w:t>3</w:t>
            </w:r>
            <w:r w:rsidRPr="000829BD">
              <w:rPr>
                <w:lang w:val="pl-PL"/>
              </w:rPr>
              <w:t xml:space="preserve">) </w:t>
            </w:r>
            <w:r w:rsidR="004C4E9E" w:rsidRPr="004C4E9E">
              <w:rPr>
                <w:lang w:val="pl-PL"/>
              </w:rPr>
              <w:t>Port Lotniczy Bydgoszcz S</w:t>
            </w:r>
            <w:r w:rsidR="007E17CA" w:rsidRPr="004F5C2D">
              <w:rPr>
                <w:lang w:val="pl-PL"/>
              </w:rPr>
              <w:t>.</w:t>
            </w:r>
            <w:r w:rsidR="004C4E9E" w:rsidRPr="004C4E9E">
              <w:rPr>
                <w:lang w:val="pl-PL"/>
              </w:rPr>
              <w:t>A</w:t>
            </w:r>
            <w:r w:rsidR="007E17CA" w:rsidRPr="004F5C2D">
              <w:rPr>
                <w:lang w:val="pl-PL"/>
              </w:rPr>
              <w:t>. im. Ignacego Jana Paderewskiego</w:t>
            </w:r>
            <w:r w:rsidR="004C4E9E" w:rsidRPr="004C4E9E">
              <w:rPr>
                <w:lang w:val="pl-PL"/>
              </w:rPr>
              <w:t>, ul. Paderewskiego 1, 86-005 Białe Błota;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>1</w:t>
            </w:r>
            <w:r w:rsidR="00635B6E" w:rsidRPr="00635B6E">
              <w:rPr>
                <w:lang w:val="pl-PL"/>
              </w:rPr>
              <w:t>4</w:t>
            </w:r>
            <w:r w:rsidRPr="000829BD">
              <w:rPr>
                <w:lang w:val="pl-PL"/>
              </w:rPr>
              <w:t xml:space="preserve">) </w:t>
            </w:r>
            <w:r w:rsidR="004C4E9E" w:rsidRPr="004C4E9E">
              <w:rPr>
                <w:lang w:val="pl-PL"/>
              </w:rPr>
              <w:t>Port Lotniczy Szczytno</w:t>
            </w:r>
            <w:r w:rsidR="00004A46" w:rsidRPr="004F5C2D">
              <w:rPr>
                <w:lang w:val="pl-PL"/>
              </w:rPr>
              <w:t xml:space="preserve"> </w:t>
            </w:r>
            <w:r w:rsidR="004C4E9E" w:rsidRPr="004C4E9E">
              <w:rPr>
                <w:lang w:val="pl-PL"/>
              </w:rPr>
              <w:t>- Mazury, Szymany 150, 12-100 Szczytno;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>1</w:t>
            </w:r>
            <w:r w:rsidR="00635B6E" w:rsidRPr="00635B6E">
              <w:rPr>
                <w:lang w:val="pl-PL"/>
              </w:rPr>
              <w:t>5</w:t>
            </w:r>
            <w:r w:rsidRPr="000829BD">
              <w:rPr>
                <w:lang w:val="pl-PL"/>
              </w:rPr>
              <w:t xml:space="preserve">) </w:t>
            </w:r>
            <w:r w:rsidR="004C4E9E" w:rsidRPr="004C4E9E">
              <w:rPr>
                <w:lang w:val="pl-PL"/>
              </w:rPr>
              <w:t>Związek Regionalnych Portów Lotniczych, Al. Korfantego 38, 40-161 Katowice;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>1</w:t>
            </w:r>
            <w:r w:rsidR="00635B6E" w:rsidRPr="00635B6E">
              <w:rPr>
                <w:lang w:val="pl-PL"/>
              </w:rPr>
              <w:t>6</w:t>
            </w:r>
            <w:r w:rsidRPr="000829BD">
              <w:rPr>
                <w:lang w:val="pl-PL"/>
              </w:rPr>
              <w:t xml:space="preserve">) </w:t>
            </w:r>
            <w:r w:rsidR="004C4E9E" w:rsidRPr="004C4E9E">
              <w:rPr>
                <w:lang w:val="pl-PL"/>
              </w:rPr>
              <w:t>Stowarzyszenie „Inicjatywa dla Infrastruktury”, Pl. Bankowy 2, 00-095 Warszawa</w:t>
            </w:r>
            <w:r w:rsidRPr="000829BD">
              <w:rPr>
                <w:lang w:val="pl-PL"/>
              </w:rPr>
              <w:t>;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>1</w:t>
            </w:r>
            <w:r w:rsidR="00635B6E" w:rsidRPr="00635B6E">
              <w:rPr>
                <w:lang w:val="pl-PL"/>
              </w:rPr>
              <w:t>7</w:t>
            </w:r>
            <w:r w:rsidRPr="000829BD">
              <w:rPr>
                <w:lang w:val="pl-PL"/>
              </w:rPr>
              <w:t xml:space="preserve">) </w:t>
            </w:r>
            <w:r w:rsidR="004C4E9E" w:rsidRPr="004C4E9E">
              <w:rPr>
                <w:lang w:val="pl-PL"/>
              </w:rPr>
              <w:t xml:space="preserve">Stowarzyszenie Polskich Kontrolerów Ruchu Lotniczego POLATCA, ul. Wieżowa 8 </w:t>
            </w:r>
            <w:r w:rsidR="004C4E9E" w:rsidRPr="004C4E9E">
              <w:rPr>
                <w:lang w:val="pl-PL"/>
              </w:rPr>
              <w:br/>
              <w:t>lok. C104</w:t>
            </w:r>
            <w:r w:rsidRPr="000829BD">
              <w:rPr>
                <w:lang w:val="pl-PL"/>
              </w:rPr>
              <w:t>;</w:t>
            </w:r>
            <w:r w:rsidR="004C4E9E" w:rsidRPr="004C4E9E">
              <w:rPr>
                <w:lang w:val="pl-PL"/>
              </w:rPr>
              <w:t xml:space="preserve"> </w:t>
            </w:r>
          </w:p>
          <w:p w:rsidR="004C4E9E" w:rsidRPr="004C4E9E" w:rsidRDefault="0066230D" w:rsidP="004C4E9E">
            <w:pPr>
              <w:pStyle w:val="Akapitzlist"/>
              <w:rPr>
                <w:lang w:val="pl-PL"/>
              </w:rPr>
            </w:pPr>
            <w:r w:rsidRPr="000829BD">
              <w:rPr>
                <w:lang w:val="pl-PL"/>
              </w:rPr>
              <w:t>1</w:t>
            </w:r>
            <w:r w:rsidR="00635B6E" w:rsidRPr="00635B6E">
              <w:rPr>
                <w:lang w:val="pl-PL"/>
              </w:rPr>
              <w:t>8</w:t>
            </w:r>
            <w:r w:rsidRPr="000829BD">
              <w:rPr>
                <w:lang w:val="pl-PL"/>
              </w:rPr>
              <w:t xml:space="preserve">) </w:t>
            </w:r>
            <w:r w:rsidR="004C4E9E" w:rsidRPr="004C4E9E">
              <w:rPr>
                <w:lang w:val="pl-PL"/>
              </w:rPr>
              <w:t>Polska Agencja Żeglugi Powietrznej, ul. Wieżowa 8, 02-147 Warszawa</w:t>
            </w:r>
            <w:r w:rsidRPr="000829BD">
              <w:rPr>
                <w:lang w:val="pl-PL"/>
              </w:rPr>
              <w:t>;</w:t>
            </w:r>
          </w:p>
          <w:p w:rsidR="004C4E9E" w:rsidRPr="004C4E9E" w:rsidRDefault="009D3687" w:rsidP="004C4E9E">
            <w:pPr>
              <w:pStyle w:val="Akapitzlist"/>
              <w:rPr>
                <w:lang w:val="pl-PL"/>
              </w:rPr>
            </w:pPr>
            <w:r w:rsidRPr="00F8186F">
              <w:rPr>
                <w:lang w:val="pl-PL"/>
              </w:rPr>
              <w:t>19</w:t>
            </w:r>
            <w:r w:rsidR="0066230D" w:rsidRPr="000829BD">
              <w:rPr>
                <w:lang w:val="pl-PL"/>
              </w:rPr>
              <w:t xml:space="preserve">) </w:t>
            </w:r>
            <w:r w:rsidR="004C4E9E" w:rsidRPr="004C4E9E">
              <w:rPr>
                <w:lang w:val="pl-PL"/>
              </w:rPr>
              <w:t xml:space="preserve">Aeroklub Polski, ul. </w:t>
            </w:r>
            <w:r w:rsidR="00635B6E" w:rsidRPr="00635B6E">
              <w:rPr>
                <w:lang w:val="pl-PL"/>
              </w:rPr>
              <w:t>Komitetu Obrony Robotników 39</w:t>
            </w:r>
            <w:r w:rsidR="004C4E9E" w:rsidRPr="004C4E9E">
              <w:rPr>
                <w:lang w:val="pl-PL"/>
              </w:rPr>
              <w:t xml:space="preserve">, </w:t>
            </w:r>
            <w:r w:rsidR="00635B6E" w:rsidRPr="00635B6E">
              <w:rPr>
                <w:lang w:val="pl-PL"/>
              </w:rPr>
              <w:t>02-148</w:t>
            </w:r>
            <w:r w:rsidR="004C4E9E" w:rsidRPr="004C4E9E">
              <w:rPr>
                <w:lang w:val="pl-PL"/>
              </w:rPr>
              <w:t xml:space="preserve"> Warszawa</w:t>
            </w:r>
            <w:r w:rsidR="00EC4A88" w:rsidRPr="000829BD">
              <w:rPr>
                <w:lang w:val="pl-PL"/>
              </w:rPr>
              <w:t>.</w:t>
            </w:r>
          </w:p>
          <w:p w:rsidR="004C4E9E" w:rsidRPr="004C4E9E" w:rsidRDefault="004C4E9E" w:rsidP="00FB53A1">
            <w:r w:rsidRPr="004C4E9E">
              <w:t>Z uwagi na zakres projektu, który nie dotyczy problematyki zadań związków zawodowych oraz organizacji pracodawców, projekt nie podlega opiniowaniu przez reprezentatywne związki zawodowe oraz organizacje pracodawców.</w:t>
            </w:r>
          </w:p>
        </w:tc>
      </w:tr>
      <w:tr w:rsidR="004C4E9E" w:rsidRPr="00564140" w:rsidTr="00FB53A1">
        <w:trPr>
          <w:trHeight w:val="363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4C4E9E" w:rsidP="004C4E9E">
            <w:pPr>
              <w:rPr>
                <w:rStyle w:val="Ppogrubienie"/>
              </w:rPr>
            </w:pPr>
            <w:r w:rsidRPr="001D26B6">
              <w:rPr>
                <w:rStyle w:val="Ppogrubienie"/>
              </w:rPr>
              <w:lastRenderedPageBreak/>
              <w:t xml:space="preserve"> </w:t>
            </w:r>
            <w:r w:rsidR="00FB2CB5" w:rsidRPr="001D26B6">
              <w:rPr>
                <w:rStyle w:val="Ppogrubienie"/>
              </w:rPr>
              <w:t>6.</w:t>
            </w:r>
            <w:r w:rsidR="00FB2CB5">
              <w:t xml:space="preserve"> </w:t>
            </w:r>
            <w:r w:rsidRPr="00FB53A1">
              <w:rPr>
                <w:rStyle w:val="Ppogrubienie"/>
              </w:rPr>
              <w:t>Wpływ na sektor finansów publicznych</w:t>
            </w:r>
          </w:p>
        </w:tc>
      </w:tr>
      <w:tr w:rsidR="006B3B18" w:rsidRPr="00564140" w:rsidTr="00FB53A1">
        <w:trPr>
          <w:trHeight w:val="142"/>
        </w:trPr>
        <w:tc>
          <w:tcPr>
            <w:tcW w:w="1666" w:type="pct"/>
            <w:gridSpan w:val="3"/>
            <w:vMerge w:val="restar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(ceny stałe z 2014 r.)</w:t>
            </w:r>
          </w:p>
        </w:tc>
        <w:tc>
          <w:tcPr>
            <w:tcW w:w="3334" w:type="pct"/>
            <w:gridSpan w:val="2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Skutki w okresie 10 lat od wejścia w życie zmian [mln zł]</w:t>
            </w:r>
          </w:p>
        </w:tc>
      </w:tr>
      <w:tr w:rsidR="006B3B18" w:rsidRPr="00564140" w:rsidTr="00FB53A1">
        <w:trPr>
          <w:trHeight w:val="142"/>
        </w:trPr>
        <w:tc>
          <w:tcPr>
            <w:tcW w:w="1666" w:type="pct"/>
            <w:gridSpan w:val="3"/>
            <w:vMerge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/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0</w:t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1</w:t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2</w:t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3</w:t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4</w:t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5</w:t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6</w:t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7</w:t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8</w:t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9</w:t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10</w:t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4C4E9E">
              <w:t xml:space="preserve">Łącznie </w:t>
            </w:r>
          </w:p>
          <w:p w:rsidR="004C4E9E" w:rsidRPr="004C4E9E" w:rsidRDefault="004C4E9E" w:rsidP="004C4E9E">
            <w:r w:rsidRPr="004C4E9E">
              <w:t>(0-10)</w:t>
            </w:r>
          </w:p>
        </w:tc>
      </w:tr>
      <w:tr w:rsidR="006B3B18" w:rsidRPr="00564140" w:rsidTr="00FB53A1">
        <w:trPr>
          <w:trHeight w:val="321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4C4E9E" w:rsidP="004C4E9E">
            <w:pPr>
              <w:rPr>
                <w:rStyle w:val="Ppogrubienie"/>
              </w:rPr>
            </w:pPr>
            <w:r w:rsidRPr="00FB53A1">
              <w:rPr>
                <w:rStyle w:val="Ppogrubienie"/>
              </w:rPr>
              <w:t>Dochody ogółem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0</w:t>
            </w:r>
          </w:p>
        </w:tc>
      </w:tr>
      <w:tr w:rsidR="006B3B18" w:rsidRPr="00564140" w:rsidTr="00FB53A1">
        <w:trPr>
          <w:trHeight w:val="321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budżet państwa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0</w:t>
            </w:r>
          </w:p>
        </w:tc>
      </w:tr>
      <w:tr w:rsidR="006B3B18" w:rsidRPr="00564140" w:rsidTr="00FB53A1">
        <w:trPr>
          <w:trHeight w:val="344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JST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0</w:t>
            </w:r>
          </w:p>
        </w:tc>
      </w:tr>
      <w:tr w:rsidR="006B3B18" w:rsidRPr="00564140" w:rsidTr="00FB53A1">
        <w:trPr>
          <w:trHeight w:val="344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pozostałe jednostki (oddzielnie)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0</w:t>
            </w:r>
          </w:p>
        </w:tc>
      </w:tr>
      <w:tr w:rsidR="006B3B18" w:rsidRPr="00564140" w:rsidTr="00FB53A1">
        <w:trPr>
          <w:trHeight w:val="330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4C4E9E" w:rsidP="004C4E9E">
            <w:pPr>
              <w:rPr>
                <w:rStyle w:val="Ppogrubienie"/>
              </w:rPr>
            </w:pPr>
            <w:r w:rsidRPr="00FB53A1">
              <w:rPr>
                <w:rStyle w:val="Ppogrubienie"/>
              </w:rPr>
              <w:t>Wydatki ogółem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0</w:t>
            </w:r>
          </w:p>
        </w:tc>
      </w:tr>
      <w:tr w:rsidR="006B3B18" w:rsidRPr="00564140" w:rsidTr="00FB53A1">
        <w:trPr>
          <w:trHeight w:val="330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budżet państwa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0</w:t>
            </w:r>
          </w:p>
        </w:tc>
      </w:tr>
      <w:tr w:rsidR="006B3B18" w:rsidRPr="00564140" w:rsidTr="00FB53A1">
        <w:trPr>
          <w:trHeight w:val="351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JST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0</w:t>
            </w:r>
          </w:p>
        </w:tc>
      </w:tr>
      <w:tr w:rsidR="006B3B18" w:rsidRPr="00564140" w:rsidTr="00FB53A1">
        <w:trPr>
          <w:trHeight w:val="351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pozostałe jednostki (oddzielnie)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0</w:t>
            </w:r>
          </w:p>
        </w:tc>
      </w:tr>
      <w:tr w:rsidR="006B3B18" w:rsidRPr="00564140" w:rsidTr="00FB53A1">
        <w:trPr>
          <w:trHeight w:val="360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4C4E9E" w:rsidP="004C4E9E">
            <w:pPr>
              <w:rPr>
                <w:rStyle w:val="Ppogrubienie"/>
              </w:rPr>
            </w:pPr>
            <w:r w:rsidRPr="00FB53A1">
              <w:rPr>
                <w:rStyle w:val="Ppogrubienie"/>
              </w:rPr>
              <w:t>Saldo ogółem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0</w:t>
            </w:r>
          </w:p>
        </w:tc>
      </w:tr>
      <w:tr w:rsidR="006B3B18" w:rsidRPr="00564140" w:rsidTr="00FB53A1">
        <w:trPr>
          <w:trHeight w:val="360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budżet państwa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0</w:t>
            </w:r>
          </w:p>
        </w:tc>
      </w:tr>
      <w:tr w:rsidR="006B3B18" w:rsidRPr="00564140" w:rsidTr="00FB53A1">
        <w:trPr>
          <w:trHeight w:val="357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JST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0</w:t>
            </w:r>
          </w:p>
        </w:tc>
      </w:tr>
      <w:tr w:rsidR="006B3B18" w:rsidRPr="00564140" w:rsidTr="00FB53A1">
        <w:trPr>
          <w:trHeight w:val="357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pozostałe jednostki (oddzielnie)</w:t>
            </w:r>
          </w:p>
        </w:tc>
        <w:tc>
          <w:tcPr>
            <w:tcW w:w="214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05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3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72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4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sym w:font="Symbol" w:char="F02D"/>
            </w:r>
          </w:p>
        </w:tc>
        <w:tc>
          <w:tcPr>
            <w:tcW w:w="723" w:type="pct"/>
            <w:gridSpan w:val="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0</w:t>
            </w:r>
          </w:p>
        </w:tc>
      </w:tr>
      <w:tr w:rsidR="006B3B18" w:rsidRPr="00564140" w:rsidTr="00FB53A1">
        <w:trPr>
          <w:trHeight w:val="348"/>
        </w:trPr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lastRenderedPageBreak/>
              <w:t xml:space="preserve">Źródła finansowania </w:t>
            </w:r>
          </w:p>
        </w:tc>
        <w:tc>
          <w:tcPr>
            <w:tcW w:w="3334" w:type="pct"/>
            <w:gridSpan w:val="2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Nie dotyczy.</w:t>
            </w:r>
          </w:p>
        </w:tc>
      </w:tr>
      <w:tr w:rsidR="006B3B18" w:rsidRPr="00564140" w:rsidTr="00FB53A1">
        <w:tc>
          <w:tcPr>
            <w:tcW w:w="166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 xml:space="preserve">Dodatkowe informacje, w tym wskazanie źródeł danych i przyjętych do </w:t>
            </w:r>
            <w:r w:rsidRPr="004C4E9E">
              <w:t>obliczeń założeń</w:t>
            </w:r>
          </w:p>
        </w:tc>
        <w:tc>
          <w:tcPr>
            <w:tcW w:w="3334" w:type="pct"/>
            <w:gridSpan w:val="2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73C3D" w:rsidRDefault="00826B83" w:rsidP="00252FEE">
            <w:r w:rsidRPr="00826B83">
              <w:t>Projektodawca</w:t>
            </w:r>
            <w:r>
              <w:t xml:space="preserve"> </w:t>
            </w:r>
            <w:r w:rsidRPr="00826B83">
              <w:t>nie przewiduje, aby projektowane regulacje miały wpływ na sektor finansów publicznych</w:t>
            </w:r>
            <w:r>
              <w:t xml:space="preserve">. </w:t>
            </w:r>
          </w:p>
          <w:p w:rsidR="00252FEE" w:rsidRPr="00564140" w:rsidRDefault="00252FEE" w:rsidP="00454DB3"/>
        </w:tc>
      </w:tr>
      <w:tr w:rsidR="004C4E9E" w:rsidRPr="00564140" w:rsidTr="00FB53A1">
        <w:trPr>
          <w:trHeight w:val="345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FB53A1" w:rsidRDefault="00FB2CB5" w:rsidP="004C4E9E">
            <w:pPr>
              <w:rPr>
                <w:rStyle w:val="Ppogrubienie"/>
              </w:rPr>
            </w:pPr>
            <w:r w:rsidRPr="00682949">
              <w:rPr>
                <w:rStyle w:val="Ppogrubienie"/>
              </w:rPr>
              <w:t>7.</w:t>
            </w:r>
            <w:r>
              <w:rPr>
                <w:rStyle w:val="Ppogrubienie"/>
              </w:rPr>
              <w:t xml:space="preserve"> </w:t>
            </w:r>
            <w:r w:rsidR="004C4E9E" w:rsidRPr="00FB53A1">
              <w:rPr>
                <w:rStyle w:val="Ppogrubienie"/>
              </w:rPr>
              <w:t xml:space="preserve">Wpływ na konkurencyjność gospodarki i przedsiębiorczość, w tym funkcjonowanie przedsiębiorców oraz na rodzinę, obywateli i gospodarstwa domowe </w:t>
            </w:r>
          </w:p>
        </w:tc>
      </w:tr>
      <w:tr w:rsidR="004C4E9E" w:rsidRPr="00564140" w:rsidTr="00FB53A1">
        <w:trPr>
          <w:trHeight w:val="342"/>
        </w:trPr>
        <w:tc>
          <w:tcPr>
            <w:tcW w:w="5000" w:type="pct"/>
            <w:gridSpan w:val="26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10793" w:rsidRPr="00110793" w:rsidRDefault="004C4E9E" w:rsidP="001327C3">
            <w:pPr>
              <w:pStyle w:val="ROZDZODDZOZNoznaczenierozdziauluboddziau"/>
              <w:jc w:val="both"/>
            </w:pPr>
            <w:r w:rsidRPr="004C4E9E">
              <w:t>Skutki:</w:t>
            </w:r>
            <w:r w:rsidR="00826B83">
              <w:t xml:space="preserve"> </w:t>
            </w:r>
          </w:p>
        </w:tc>
      </w:tr>
      <w:tr w:rsidR="006B3B18" w:rsidRPr="00564140" w:rsidTr="006B3B18">
        <w:trPr>
          <w:trHeight w:val="142"/>
        </w:trPr>
        <w:tc>
          <w:tcPr>
            <w:tcW w:w="1780" w:type="pct"/>
            <w:gridSpan w:val="4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Czas w latach od wejścia w życie zmian</w:t>
            </w:r>
          </w:p>
        </w:tc>
        <w:tc>
          <w:tcPr>
            <w:tcW w:w="473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0</w:t>
            </w:r>
          </w:p>
        </w:tc>
        <w:tc>
          <w:tcPr>
            <w:tcW w:w="476" w:type="pct"/>
            <w:gridSpan w:val="5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1</w:t>
            </w:r>
          </w:p>
        </w:tc>
        <w:tc>
          <w:tcPr>
            <w:tcW w:w="477" w:type="pct"/>
            <w:gridSpan w:val="4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2</w:t>
            </w:r>
          </w:p>
        </w:tc>
        <w:tc>
          <w:tcPr>
            <w:tcW w:w="408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3</w:t>
            </w:r>
          </w:p>
        </w:tc>
        <w:tc>
          <w:tcPr>
            <w:tcW w:w="421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5</w:t>
            </w:r>
          </w:p>
        </w:tc>
        <w:tc>
          <w:tcPr>
            <w:tcW w:w="39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10</w:t>
            </w:r>
          </w:p>
        </w:tc>
        <w:tc>
          <w:tcPr>
            <w:tcW w:w="56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4C4E9E">
              <w:t xml:space="preserve">Łącznie </w:t>
            </w:r>
            <w:r w:rsidRPr="004C4E9E">
              <w:br/>
              <w:t>(0-10)</w:t>
            </w:r>
          </w:p>
        </w:tc>
      </w:tr>
      <w:tr w:rsidR="006B3B18" w:rsidRPr="00564140" w:rsidTr="00FB53A1">
        <w:trPr>
          <w:trHeight w:val="142"/>
        </w:trPr>
        <w:tc>
          <w:tcPr>
            <w:tcW w:w="886" w:type="pct"/>
            <w:vMerge w:val="restar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 xml:space="preserve">W ujęciu pieniężnym </w:t>
            </w:r>
            <w:r w:rsidRPr="004C4E9E">
              <w:t>(w mln zł, ceny stałe z 2014 r.)</w:t>
            </w:r>
          </w:p>
        </w:tc>
        <w:tc>
          <w:tcPr>
            <w:tcW w:w="894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 xml:space="preserve">duże </w:t>
            </w:r>
            <w:r w:rsidRPr="004C4E9E">
              <w:t>przedsiębiorstwa</w:t>
            </w:r>
          </w:p>
        </w:tc>
        <w:tc>
          <w:tcPr>
            <w:tcW w:w="473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F24EC" w:rsidRPr="004C4E9E" w:rsidRDefault="004C4E9E" w:rsidP="008F24EC">
            <w:r w:rsidRPr="00564140">
              <w:t>―</w:t>
            </w:r>
          </w:p>
        </w:tc>
        <w:tc>
          <w:tcPr>
            <w:tcW w:w="476" w:type="pct"/>
            <w:gridSpan w:val="5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77" w:type="pct"/>
            <w:gridSpan w:val="4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08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21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39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56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</w:tr>
      <w:tr w:rsidR="006B3B18" w:rsidRPr="00564140" w:rsidTr="00FB53A1">
        <w:trPr>
          <w:trHeight w:val="142"/>
        </w:trPr>
        <w:tc>
          <w:tcPr>
            <w:tcW w:w="886" w:type="pct"/>
            <w:vMerge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564140" w:rsidRDefault="004C4E9E" w:rsidP="004C4E9E"/>
        </w:tc>
        <w:tc>
          <w:tcPr>
            <w:tcW w:w="894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sektor mikro-, małych i średnich przedsiębiorstw</w:t>
            </w:r>
          </w:p>
        </w:tc>
        <w:tc>
          <w:tcPr>
            <w:tcW w:w="473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76" w:type="pct"/>
            <w:gridSpan w:val="5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77" w:type="pct"/>
            <w:gridSpan w:val="4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08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21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39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56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</w:tr>
      <w:tr w:rsidR="006B3B18" w:rsidRPr="00564140" w:rsidTr="00FB53A1">
        <w:trPr>
          <w:trHeight w:val="142"/>
        </w:trPr>
        <w:tc>
          <w:tcPr>
            <w:tcW w:w="886" w:type="pct"/>
            <w:vMerge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564140" w:rsidRDefault="004C4E9E" w:rsidP="004C4E9E"/>
        </w:tc>
        <w:tc>
          <w:tcPr>
            <w:tcW w:w="894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rodzina, obywatele oraz gospodarstwa domowe</w:t>
            </w:r>
          </w:p>
        </w:tc>
        <w:tc>
          <w:tcPr>
            <w:tcW w:w="473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76" w:type="pct"/>
            <w:gridSpan w:val="5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77" w:type="pct"/>
            <w:gridSpan w:val="4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08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421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396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  <w:tc>
          <w:tcPr>
            <w:tcW w:w="56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4C4E9E">
            <w:r w:rsidRPr="00564140">
              <w:t>―</w:t>
            </w:r>
          </w:p>
        </w:tc>
      </w:tr>
      <w:tr w:rsidR="006B3B18" w:rsidRPr="00564140" w:rsidTr="00FB53A1">
        <w:trPr>
          <w:trHeight w:val="142"/>
        </w:trPr>
        <w:tc>
          <w:tcPr>
            <w:tcW w:w="886" w:type="pct"/>
            <w:vMerge w:val="restar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W ujęciu niepieniężnym</w:t>
            </w:r>
          </w:p>
        </w:tc>
        <w:tc>
          <w:tcPr>
            <w:tcW w:w="894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duże przedsiębiorstwa</w:t>
            </w:r>
          </w:p>
        </w:tc>
        <w:tc>
          <w:tcPr>
            <w:tcW w:w="3220" w:type="pct"/>
            <w:gridSpan w:val="2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Nie dotyczy</w:t>
            </w:r>
          </w:p>
        </w:tc>
      </w:tr>
      <w:tr w:rsidR="006B3B18" w:rsidRPr="00564140" w:rsidTr="00FB53A1">
        <w:trPr>
          <w:trHeight w:val="142"/>
        </w:trPr>
        <w:tc>
          <w:tcPr>
            <w:tcW w:w="886" w:type="pct"/>
            <w:vMerge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564140" w:rsidRDefault="004C4E9E" w:rsidP="004C4E9E"/>
        </w:tc>
        <w:tc>
          <w:tcPr>
            <w:tcW w:w="894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 xml:space="preserve">sektor mikro-, małych i średnich </w:t>
            </w:r>
            <w:r w:rsidRPr="004C4E9E">
              <w:t>przedsiębiorstw</w:t>
            </w:r>
          </w:p>
        </w:tc>
        <w:tc>
          <w:tcPr>
            <w:tcW w:w="3220" w:type="pct"/>
            <w:gridSpan w:val="2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Nie dotyczy</w:t>
            </w:r>
          </w:p>
        </w:tc>
      </w:tr>
      <w:tr w:rsidR="006B3B18" w:rsidRPr="00564140" w:rsidTr="00FB53A1">
        <w:trPr>
          <w:trHeight w:val="596"/>
        </w:trPr>
        <w:tc>
          <w:tcPr>
            <w:tcW w:w="886" w:type="pct"/>
            <w:vMerge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564140" w:rsidRDefault="004C4E9E" w:rsidP="004C4E9E"/>
        </w:tc>
        <w:tc>
          <w:tcPr>
            <w:tcW w:w="894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 xml:space="preserve">rodzina, obywatele oraz gospodarstwa domowe </w:t>
            </w:r>
          </w:p>
        </w:tc>
        <w:tc>
          <w:tcPr>
            <w:tcW w:w="3220" w:type="pct"/>
            <w:gridSpan w:val="2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Nie dotyczy</w:t>
            </w:r>
          </w:p>
        </w:tc>
      </w:tr>
      <w:tr w:rsidR="006B3B18" w:rsidRPr="00564140" w:rsidTr="006B3B18">
        <w:trPr>
          <w:trHeight w:val="142"/>
        </w:trPr>
        <w:tc>
          <w:tcPr>
            <w:tcW w:w="886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>Niemierzalne</w:t>
            </w:r>
          </w:p>
        </w:tc>
        <w:tc>
          <w:tcPr>
            <w:tcW w:w="894" w:type="pct"/>
            <w:gridSpan w:val="3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564140" w:rsidRDefault="004C4E9E" w:rsidP="004C4E9E"/>
        </w:tc>
        <w:tc>
          <w:tcPr>
            <w:tcW w:w="3220" w:type="pct"/>
            <w:gridSpan w:val="2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Nie dotyczy</w:t>
            </w:r>
          </w:p>
        </w:tc>
      </w:tr>
      <w:tr w:rsidR="006B3B18" w:rsidRPr="00564140" w:rsidTr="00FB53A1">
        <w:tc>
          <w:tcPr>
            <w:tcW w:w="1780" w:type="pct"/>
            <w:gridSpan w:val="4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564140">
              <w:t xml:space="preserve">Dodatkowe informacje, w tym wskazanie źródeł danych i </w:t>
            </w:r>
            <w:r w:rsidRPr="00564140">
              <w:lastRenderedPageBreak/>
              <w:t xml:space="preserve">przyjętych do obliczeń założeń </w:t>
            </w:r>
          </w:p>
        </w:tc>
        <w:tc>
          <w:tcPr>
            <w:tcW w:w="3220" w:type="pct"/>
            <w:gridSpan w:val="22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07277" w:rsidRDefault="006952DA" w:rsidP="004C4E9E">
            <w:r>
              <w:lastRenderedPageBreak/>
              <w:t>Projektowane</w:t>
            </w:r>
            <w:r w:rsidR="006B3B18" w:rsidRPr="006B3B18">
              <w:t xml:space="preserve"> rozporządzenie nie nakłada na zarządzających lotn</w:t>
            </w:r>
            <w:r>
              <w:t>iskami dodatkowych obciążeń.</w:t>
            </w:r>
            <w:r w:rsidR="00807277">
              <w:t xml:space="preserve"> </w:t>
            </w:r>
          </w:p>
          <w:p w:rsidR="004C4E9E" w:rsidRPr="00564140" w:rsidRDefault="00807277" w:rsidP="00807277">
            <w:r>
              <w:lastRenderedPageBreak/>
              <w:t xml:space="preserve">Projektowane przepisy nie mają wpływu </w:t>
            </w:r>
            <w:r w:rsidRPr="00807277">
              <w:t>na konkurencyjność gospodarki i przedsiębiorczość, w tym na rodzinę, obywateli i gospodarstwa domowe.</w:t>
            </w:r>
          </w:p>
        </w:tc>
      </w:tr>
      <w:tr w:rsidR="004C4E9E" w:rsidRPr="00564140" w:rsidTr="00FB53A1">
        <w:trPr>
          <w:trHeight w:val="342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FB53A1" w:rsidRDefault="004C4E9E" w:rsidP="004C4E9E">
            <w:pPr>
              <w:rPr>
                <w:rStyle w:val="Ppogrubienie"/>
              </w:rPr>
            </w:pPr>
            <w:r w:rsidRPr="004C4E9E">
              <w:lastRenderedPageBreak/>
              <w:t xml:space="preserve"> </w:t>
            </w:r>
            <w:r w:rsidR="00FB2CB5" w:rsidRPr="001327C3">
              <w:rPr>
                <w:rStyle w:val="Ppogrubienie"/>
              </w:rPr>
              <w:t xml:space="preserve">8. </w:t>
            </w:r>
            <w:r w:rsidRPr="00682949">
              <w:rPr>
                <w:rStyle w:val="Ppogrubienie"/>
              </w:rPr>
              <w:t>Zmiana</w:t>
            </w:r>
            <w:r w:rsidRPr="00FB53A1">
              <w:rPr>
                <w:rStyle w:val="Ppogrubienie"/>
              </w:rPr>
              <w:t xml:space="preserve"> obciążeń regulacyjnych (w tym obowiązków informacyjnych) wynikających z projektu</w:t>
            </w:r>
          </w:p>
        </w:tc>
      </w:tr>
      <w:tr w:rsidR="004C4E9E" w:rsidRPr="00564140" w:rsidTr="00FB53A1">
        <w:trPr>
          <w:trHeight w:val="151"/>
        </w:trPr>
        <w:tc>
          <w:tcPr>
            <w:tcW w:w="5000" w:type="pct"/>
            <w:gridSpan w:val="26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D33454" w:rsidP="004C4E9E">
            <w:r w:rsidRPr="004C4E9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nie dotyczy</w:t>
            </w:r>
          </w:p>
        </w:tc>
      </w:tr>
      <w:tr w:rsidR="006B3B18" w:rsidRPr="00564140" w:rsidTr="00FB53A1">
        <w:trPr>
          <w:trHeight w:val="946"/>
        </w:trPr>
        <w:tc>
          <w:tcPr>
            <w:tcW w:w="2392" w:type="pct"/>
            <w:gridSpan w:val="9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Wprowadzane są obciążenia poza bezwzględnie wymaganymi przez UE (szczegóły w odwróconej tabeli zgodności).</w:t>
            </w:r>
          </w:p>
        </w:tc>
        <w:tc>
          <w:tcPr>
            <w:tcW w:w="2608" w:type="pct"/>
            <w:gridSpan w:val="17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tak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nie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nie dotyczy</w:t>
            </w:r>
          </w:p>
        </w:tc>
      </w:tr>
      <w:tr w:rsidR="006B3B18" w:rsidRPr="00564140" w:rsidTr="00FB53A1">
        <w:trPr>
          <w:trHeight w:val="1245"/>
        </w:trPr>
        <w:tc>
          <w:tcPr>
            <w:tcW w:w="2392" w:type="pct"/>
            <w:gridSpan w:val="9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zmniejszenie liczby dokumentów 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zmniejszenie liczby procedur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skrócenie czasu na załatwienie sprawy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inne: </w:t>
            </w:r>
            <w:r w:rsidRPr="004C4E9E"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4C4E9E" w:rsidRPr="004C4E9E">
              <w:instrText xml:space="preserve"> FORMTEXT </w:instrText>
            </w:r>
            <w:r w:rsidRPr="004C4E9E">
              <w:fldChar w:fldCharType="separate"/>
            </w:r>
            <w:r w:rsidR="004C4E9E" w:rsidRPr="004C4E9E">
              <w:t> </w:t>
            </w:r>
            <w:r w:rsidR="004C4E9E" w:rsidRPr="004C4E9E">
              <w:t> </w:t>
            </w:r>
            <w:r w:rsidR="004C4E9E" w:rsidRPr="004C4E9E">
              <w:t> </w:t>
            </w:r>
            <w:r w:rsidR="004C4E9E" w:rsidRPr="004C4E9E">
              <w:t> </w:t>
            </w:r>
            <w:r w:rsidR="004C4E9E" w:rsidRPr="004C4E9E">
              <w:t> </w:t>
            </w:r>
            <w:r w:rsidRPr="004C4E9E">
              <w:fldChar w:fldCharType="end"/>
            </w:r>
          </w:p>
        </w:tc>
        <w:tc>
          <w:tcPr>
            <w:tcW w:w="2608" w:type="pct"/>
            <w:gridSpan w:val="17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zwiększenie liczby dokumentów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zwiększenie liczby procedur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wydłużenie czasu na załatwienie sprawy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inne: </w:t>
            </w:r>
            <w:r w:rsidRPr="004C4E9E"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4C4E9E" w:rsidRPr="004C4E9E">
              <w:instrText xml:space="preserve"> FORMTEXT </w:instrText>
            </w:r>
            <w:r w:rsidRPr="004C4E9E">
              <w:fldChar w:fldCharType="separate"/>
            </w:r>
            <w:r w:rsidR="004C4E9E" w:rsidRPr="004C4E9E">
              <w:t> </w:t>
            </w:r>
            <w:r w:rsidR="004C4E9E" w:rsidRPr="004C4E9E">
              <w:t> </w:t>
            </w:r>
            <w:r w:rsidR="004C4E9E" w:rsidRPr="004C4E9E">
              <w:t> </w:t>
            </w:r>
            <w:r w:rsidR="004C4E9E" w:rsidRPr="004C4E9E">
              <w:t> </w:t>
            </w:r>
            <w:r w:rsidR="004C4E9E" w:rsidRPr="004C4E9E">
              <w:t> </w:t>
            </w:r>
            <w:r w:rsidRPr="004C4E9E">
              <w:fldChar w:fldCharType="end"/>
            </w:r>
          </w:p>
        </w:tc>
      </w:tr>
      <w:tr w:rsidR="006B3B18" w:rsidRPr="00564140" w:rsidTr="00FB53A1">
        <w:trPr>
          <w:trHeight w:val="870"/>
        </w:trPr>
        <w:tc>
          <w:tcPr>
            <w:tcW w:w="2392" w:type="pct"/>
            <w:gridSpan w:val="9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>Wprowadzane obciążenia są przystosowane do ich elektronizacji.</w:t>
            </w:r>
          </w:p>
        </w:tc>
        <w:tc>
          <w:tcPr>
            <w:tcW w:w="2608" w:type="pct"/>
            <w:gridSpan w:val="17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tak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nie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 nie dotyczy</w:t>
            </w:r>
          </w:p>
        </w:tc>
      </w:tr>
      <w:tr w:rsidR="004C4E9E" w:rsidRPr="00564140" w:rsidTr="00FB53A1">
        <w:tc>
          <w:tcPr>
            <w:tcW w:w="5000" w:type="pct"/>
            <w:gridSpan w:val="26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564140" w:rsidRDefault="004C4E9E" w:rsidP="006B3B18">
            <w:r w:rsidRPr="00564140">
              <w:t xml:space="preserve">Komentarz: </w:t>
            </w:r>
            <w:r w:rsidR="006B3B18">
              <w:t>n</w:t>
            </w:r>
            <w:r w:rsidRPr="00564140">
              <w:t>ie dotyczy.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FB53A1" w:rsidRDefault="00FB2CB5" w:rsidP="004C4E9E">
            <w:pPr>
              <w:rPr>
                <w:rStyle w:val="Ppogrubienie"/>
              </w:rPr>
            </w:pPr>
            <w:r>
              <w:rPr>
                <w:rStyle w:val="Ppogrubienie"/>
              </w:rPr>
              <w:t xml:space="preserve">9. </w:t>
            </w:r>
            <w:r w:rsidR="004C4E9E" w:rsidRPr="00FB53A1">
              <w:rPr>
                <w:rStyle w:val="Ppogrubienie"/>
              </w:rPr>
              <w:t xml:space="preserve">Wpływ na rynek pracy 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564140" w:rsidRDefault="008971CE" w:rsidP="008971CE">
            <w:r w:rsidRPr="00564140">
              <w:t>Projektowan</w:t>
            </w:r>
            <w:r>
              <w:t>e</w:t>
            </w:r>
            <w:r w:rsidRPr="00564140">
              <w:t xml:space="preserve"> rozporządzeni</w:t>
            </w:r>
            <w:r>
              <w:t>e</w:t>
            </w:r>
            <w:r w:rsidRPr="00564140">
              <w:t xml:space="preserve"> </w:t>
            </w:r>
            <w:r w:rsidR="004C4E9E" w:rsidRPr="00564140">
              <w:t>nie ma wpływu na rynek pracy.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FB53A1" w:rsidRDefault="00FB2CB5" w:rsidP="004C4E9E">
            <w:pPr>
              <w:rPr>
                <w:rStyle w:val="Ppogrubienie"/>
              </w:rPr>
            </w:pPr>
            <w:r>
              <w:rPr>
                <w:rStyle w:val="Ppogrubienie"/>
              </w:rPr>
              <w:t xml:space="preserve">10. </w:t>
            </w:r>
            <w:r w:rsidR="004C4E9E" w:rsidRPr="00FB53A1">
              <w:rPr>
                <w:rStyle w:val="Ppogrubienie"/>
              </w:rPr>
              <w:t>Wpływ na pozostałe obszary</w:t>
            </w:r>
          </w:p>
        </w:tc>
      </w:tr>
      <w:tr w:rsidR="006B3B18" w:rsidRPr="00564140" w:rsidTr="00FB53A1">
        <w:trPr>
          <w:trHeight w:val="1031"/>
        </w:trPr>
        <w:tc>
          <w:tcPr>
            <w:tcW w:w="2392" w:type="pct"/>
            <w:gridSpan w:val="9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D33454" w:rsidP="004C4E9E">
            <w:r w:rsidRPr="004C4E9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środowisko naturalne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sytuacja i rozwój regionalny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inne: </w:t>
            </w:r>
            <w:r w:rsidR="00CD74B1">
              <w:t>sytuacja ekonomiczna</w:t>
            </w:r>
            <w:r w:rsidR="00CD74B1" w:rsidRPr="00CD74B1">
              <w:t xml:space="preserve"> i społeczną rodziny, a także osób niepełnosprawnych oraz osób starszych</w:t>
            </w:r>
          </w:p>
        </w:tc>
        <w:tc>
          <w:tcPr>
            <w:tcW w:w="1348" w:type="pct"/>
            <w:gridSpan w:val="11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demografia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mienie państwowe</w:t>
            </w:r>
          </w:p>
        </w:tc>
        <w:tc>
          <w:tcPr>
            <w:tcW w:w="1260" w:type="pct"/>
            <w:gridSpan w:val="6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informatyzacja</w:t>
            </w:r>
          </w:p>
          <w:p w:rsidR="004C4E9E" w:rsidRPr="004C4E9E" w:rsidRDefault="00D33454" w:rsidP="004C4E9E">
            <w:r w:rsidRPr="004C4E9E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E9E" w:rsidRPr="004C4E9E">
              <w:instrText xml:space="preserve"> FORMCHECKBOX </w:instrText>
            </w:r>
            <w:r w:rsidR="00F75D96">
              <w:fldChar w:fldCharType="separate"/>
            </w:r>
            <w:r w:rsidRPr="004C4E9E">
              <w:fldChar w:fldCharType="end"/>
            </w:r>
            <w:r w:rsidR="004C4E9E" w:rsidRPr="004C4E9E">
              <w:t xml:space="preserve"> zdrowie</w:t>
            </w:r>
          </w:p>
        </w:tc>
      </w:tr>
      <w:tr w:rsidR="006B3B18" w:rsidRPr="00564140" w:rsidTr="00FB53A1">
        <w:trPr>
          <w:trHeight w:val="547"/>
        </w:trPr>
        <w:tc>
          <w:tcPr>
            <w:tcW w:w="2392" w:type="pct"/>
            <w:gridSpan w:val="9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564140" w:rsidRDefault="004C4E9E" w:rsidP="006B3B18">
            <w:r w:rsidRPr="00564140">
              <w:t>Omówienie wpływu</w:t>
            </w:r>
          </w:p>
        </w:tc>
        <w:tc>
          <w:tcPr>
            <w:tcW w:w="2608" w:type="pct"/>
            <w:gridSpan w:val="17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C4E9E" w:rsidRPr="004C4E9E" w:rsidRDefault="004C4E9E" w:rsidP="006B3B18">
            <w:r w:rsidRPr="00564140">
              <w:t>Nie dotyczy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FB53A1" w:rsidRDefault="00FB2CB5" w:rsidP="004C4E9E">
            <w:pPr>
              <w:rPr>
                <w:rStyle w:val="Ppogrubienie"/>
              </w:rPr>
            </w:pPr>
            <w:r>
              <w:rPr>
                <w:rStyle w:val="Ppogrubienie"/>
              </w:rPr>
              <w:t xml:space="preserve">11. </w:t>
            </w:r>
            <w:r w:rsidR="004C4E9E" w:rsidRPr="00FB53A1">
              <w:rPr>
                <w:rStyle w:val="Ppogrubienie"/>
              </w:rPr>
              <w:t>Planowane wykonanie przepisów aktu prawnego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6B3B18" w:rsidP="004C4E9E">
            <w:r>
              <w:t>Wykonanie przepisów rozporządzenia nastąpi w dniu jego wejścia w życie, tj. z dniem 1 kwietnia 201</w:t>
            </w:r>
            <w:r w:rsidR="006952DA">
              <w:t>9</w:t>
            </w:r>
            <w:r>
              <w:t xml:space="preserve"> r. 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4C4E9E">
            <w:r w:rsidRPr="004C4E9E">
              <w:t xml:space="preserve"> </w:t>
            </w:r>
            <w:r w:rsidR="00FB2CB5" w:rsidRPr="001327C3">
              <w:rPr>
                <w:rStyle w:val="Ppogrubienie"/>
              </w:rPr>
              <w:t xml:space="preserve">12. </w:t>
            </w:r>
            <w:r w:rsidRPr="00682949">
              <w:rPr>
                <w:rStyle w:val="Ppogrubienie"/>
              </w:rPr>
              <w:t>W</w:t>
            </w:r>
            <w:r w:rsidRPr="004C4E9E">
              <w:t xml:space="preserve"> </w:t>
            </w:r>
            <w:r w:rsidRPr="00FB53A1">
              <w:rPr>
                <w:rStyle w:val="Ppogrubienie"/>
              </w:rPr>
              <w:t xml:space="preserve">jaki sposób i kiedy nastąpi ewaluacja efektów projektu oraz jakie mierniki zostaną </w:t>
            </w:r>
            <w:r w:rsidRPr="00FB53A1">
              <w:rPr>
                <w:rStyle w:val="Ppogrubienie"/>
              </w:rPr>
              <w:lastRenderedPageBreak/>
              <w:t>zastosowane?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4C4E9E" w:rsidP="006B3B18">
            <w:r w:rsidRPr="004C4E9E">
              <w:lastRenderedPageBreak/>
              <w:t>Nie dotyczy</w:t>
            </w:r>
          </w:p>
        </w:tc>
      </w:tr>
      <w:tr w:rsidR="004C4E9E" w:rsidRPr="00564140" w:rsidTr="00FB53A1">
        <w:trPr>
          <w:trHeight w:val="142"/>
        </w:trPr>
        <w:tc>
          <w:tcPr>
            <w:tcW w:w="5000" w:type="pct"/>
            <w:gridSpan w:val="26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FB53A1" w:rsidRDefault="00FB2CB5" w:rsidP="004C4E9E">
            <w:pPr>
              <w:rPr>
                <w:rStyle w:val="Ppogrubienie"/>
              </w:rPr>
            </w:pPr>
            <w:r>
              <w:rPr>
                <w:rStyle w:val="Ppogrubienie"/>
              </w:rPr>
              <w:t xml:space="preserve">13. </w:t>
            </w:r>
            <w:r w:rsidR="004C4E9E" w:rsidRPr="00FB53A1">
              <w:rPr>
                <w:rStyle w:val="Ppogrubienie"/>
              </w:rPr>
              <w:t xml:space="preserve">Załączniki (istotne dokumenty źródłowe, badania, analizy itp.) </w:t>
            </w:r>
          </w:p>
        </w:tc>
      </w:tr>
      <w:tr w:rsidR="004C4E9E" w:rsidRPr="00564140" w:rsidTr="000829BD">
        <w:trPr>
          <w:trHeight w:val="263"/>
        </w:trPr>
        <w:tc>
          <w:tcPr>
            <w:tcW w:w="5000" w:type="pct"/>
            <w:gridSpan w:val="26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4E9E" w:rsidRPr="004C4E9E" w:rsidRDefault="00FB2CB5" w:rsidP="004C4E9E">
            <w:r>
              <w:t>Brak</w:t>
            </w:r>
          </w:p>
        </w:tc>
      </w:tr>
    </w:tbl>
    <w:p w:rsidR="00261A16" w:rsidRPr="00737F6A" w:rsidRDefault="00261A16" w:rsidP="00FA3BB7">
      <w:pPr>
        <w:pStyle w:val="NIEARTTEKSTtekstnieartykuowanynppodstprawnarozplubpreambua"/>
      </w:pPr>
    </w:p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427C58" w15:done="0"/>
  <w15:commentEx w15:paraId="114F8E92" w15:done="0"/>
  <w15:commentEx w15:paraId="5FA9C7F7" w15:done="0"/>
  <w15:commentEx w15:paraId="0F6941E6" w15:done="0"/>
  <w15:commentEx w15:paraId="5411CEFF" w15:done="0"/>
  <w15:commentEx w15:paraId="4A3F008D" w15:done="0"/>
  <w15:commentEx w15:paraId="6E04FAFC" w15:done="0"/>
  <w15:commentEx w15:paraId="17C212A0" w15:done="0"/>
  <w15:commentEx w15:paraId="0B513296" w15:done="0"/>
  <w15:commentEx w15:paraId="450E4948" w15:done="0"/>
  <w15:commentEx w15:paraId="7F294BB3" w15:done="0"/>
  <w15:commentEx w15:paraId="29AAE123" w15:done="0"/>
  <w15:commentEx w15:paraId="5DF4211C" w15:done="0"/>
  <w15:commentEx w15:paraId="1BFCBCA1" w15:done="0"/>
  <w15:commentEx w15:paraId="45FFF74B" w15:done="0"/>
  <w15:commentEx w15:paraId="415D0755" w15:done="0"/>
  <w15:commentEx w15:paraId="28EF26D1" w15:done="0"/>
  <w15:commentEx w15:paraId="57DBF2E1" w15:done="0"/>
  <w15:commentEx w15:paraId="2C017BE1" w15:done="0"/>
  <w15:commentEx w15:paraId="4FFA2DEB" w15:done="0"/>
  <w15:commentEx w15:paraId="32ED864E" w15:done="0"/>
  <w15:commentEx w15:paraId="65AD18A5" w15:done="0"/>
  <w15:commentEx w15:paraId="1570B0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96" w:rsidRDefault="00F75D96">
      <w:r>
        <w:separator/>
      </w:r>
    </w:p>
  </w:endnote>
  <w:endnote w:type="continuationSeparator" w:id="0">
    <w:p w:rsidR="00F75D96" w:rsidRDefault="00F7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96" w:rsidRDefault="00F75D96">
      <w:r>
        <w:separator/>
      </w:r>
    </w:p>
  </w:footnote>
  <w:footnote w:type="continuationSeparator" w:id="0">
    <w:p w:rsidR="00F75D96" w:rsidRDefault="00F75D96">
      <w:r>
        <w:continuationSeparator/>
      </w:r>
    </w:p>
  </w:footnote>
  <w:footnote w:id="1">
    <w:p w:rsidR="00D57899" w:rsidRPr="00F13A8D" w:rsidRDefault="00D57899" w:rsidP="00267113">
      <w:pPr>
        <w:pStyle w:val="ODNONIKtreodnonika"/>
      </w:pPr>
      <w:r w:rsidRPr="00F13A8D">
        <w:rPr>
          <w:rStyle w:val="Odwoanieprzypisudolnego"/>
          <w:rFonts w:cs="Arial"/>
          <w:vertAlign w:val="baseline"/>
        </w:rPr>
        <w:footnoteRef/>
      </w:r>
      <w:r w:rsidRPr="00F13A8D">
        <w:t xml:space="preserve">) </w:t>
      </w:r>
      <w:r>
        <w:tab/>
      </w:r>
      <w:r w:rsidRPr="00F13A8D">
        <w:t>Minister Infrastruktury kieruje działem administracji rządowej – transport, na podstawie § 1 ust. 2 pkt 3 rozporządzenia Prezesa Rady Ministrów z dnia 11 stycznia 2018 r. w sprawie szczegółowego zakresu działania Ministra Infrastruktury (Dz. U. poz. 101 i 176).</w:t>
      </w:r>
    </w:p>
  </w:footnote>
  <w:footnote w:id="2">
    <w:p w:rsidR="00D57899" w:rsidRDefault="00D57899" w:rsidP="00B65B32">
      <w:pPr>
        <w:pStyle w:val="ODNONIKtreodnonika"/>
      </w:pPr>
      <w:r>
        <w:rPr>
          <w:rStyle w:val="Odwoanieprzypisudolnego"/>
        </w:rPr>
        <w:footnoteRef/>
      </w:r>
      <w:r w:rsidRPr="00B65B32">
        <w:rPr>
          <w:rStyle w:val="IGindeksgrny"/>
        </w:rPr>
        <w:t xml:space="preserve">) </w:t>
      </w:r>
      <w:r>
        <w:tab/>
      </w:r>
      <w:r w:rsidRPr="000918D3">
        <w:t>Zmiany wymienionej umowy zostały ogłoszone w Dz. U. z 1963 r. poz. 137 i 138, z 1969 r. poz. 210 i 211, z 1976 r. poz. 130, 131, 188, 189, 227 i 228, z 1984 r. poz. 199 i 200, z 2000 r. poz. 446 i 447, z 2002 r. poz. 527 i 528, z 2003 r. poz. 700 i 701 oraz z 2012 r. poz. 368, 369, 370 i 371.</w:t>
      </w:r>
    </w:p>
  </w:footnote>
  <w:footnote w:id="3">
    <w:p w:rsidR="00D57899" w:rsidRDefault="00D57899" w:rsidP="00205887">
      <w:pPr>
        <w:pStyle w:val="ODNONIKtreodnonika"/>
      </w:pPr>
      <w:r>
        <w:rPr>
          <w:rStyle w:val="Odwoanieprzypisudolnego"/>
        </w:rPr>
        <w:footnoteRef/>
      </w:r>
      <w:r w:rsidRPr="00205887">
        <w:rPr>
          <w:rStyle w:val="IGindeksgrny"/>
        </w:rPr>
        <w:t>)</w:t>
      </w:r>
      <w:r>
        <w:t xml:space="preserve">  Niniejsze rozporządzenie było poprzedzone rozporządzeniem </w:t>
      </w:r>
      <w:r w:rsidRPr="00D50CF9">
        <w:t>Ministra Infrastruktury z dnia 13 sierpnia 2018 r. w sprawie wymagań technicznych i eksploatacyjnych dla lotnisk użytku publicznego podlegających obowiązkowi certyfikacji (Dz. U. poz. 1661)</w:t>
      </w:r>
      <w:r>
        <w:t xml:space="preserve">, które zgodnie z art. 18 ustawy </w:t>
      </w:r>
      <w:r w:rsidRPr="00DB58D6">
        <w:t>z dnia 14 grudnia 2018 r. o zmianie ustawy – Prawo lotnicze oraz niektórych innych ustaw</w:t>
      </w:r>
      <w:r>
        <w:t xml:space="preserve"> (Dz. U. z 2019 r. poz. </w:t>
      </w:r>
      <w:r w:rsidR="00710926">
        <w:t>235</w:t>
      </w:r>
      <w:r>
        <w:t>) traci moc z dniem wejścia w życie niniejszego rozporządzenia</w:t>
      </w:r>
      <w:r w:rsidRPr="00D50CF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99" w:rsidRPr="00B371CC" w:rsidRDefault="00D57899" w:rsidP="00B371CC">
    <w:pPr>
      <w:pStyle w:val="Nagwek"/>
      <w:jc w:val="center"/>
    </w:pPr>
    <w:r>
      <w:t xml:space="preserve">– </w:t>
    </w:r>
    <w:r w:rsidR="00D33454">
      <w:rPr>
        <w:noProof/>
      </w:rPr>
      <w:fldChar w:fldCharType="begin"/>
    </w:r>
    <w:r>
      <w:rPr>
        <w:noProof/>
      </w:rPr>
      <w:instrText xml:space="preserve"> PAGE  \* MERGEFORMAT </w:instrText>
    </w:r>
    <w:r w:rsidR="00D33454">
      <w:rPr>
        <w:noProof/>
      </w:rPr>
      <w:fldChar w:fldCharType="separate"/>
    </w:r>
    <w:r w:rsidR="00F677BF">
      <w:rPr>
        <w:noProof/>
      </w:rPr>
      <w:t>21</w:t>
    </w:r>
    <w:r w:rsidR="00D33454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8232DEA"/>
    <w:multiLevelType w:val="hybridMultilevel"/>
    <w:tmpl w:val="6616ED36"/>
    <w:lvl w:ilvl="0" w:tplc="E26E144E">
      <w:start w:val="1"/>
      <w:numFmt w:val="decimal"/>
      <w:lvlText w:val="%1)"/>
      <w:lvlJc w:val="left"/>
      <w:pPr>
        <w:ind w:left="1866" w:hanging="360"/>
      </w:pPr>
      <w:rPr>
        <w:rFonts w:ascii="Times New Roman" w:hAnsi="Times New Roman" w:cs="Arial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6"/>
  </w:num>
  <w:num w:numId="14">
    <w:abstractNumId w:val="28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3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2"/>
  </w:num>
  <w:num w:numId="45">
    <w:abstractNumId w:val="25"/>
  </w:num>
  <w:num w:numId="4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ochowalska Iwona">
    <w15:presenceInfo w15:providerId="AD" w15:userId="S-1-5-21-880181269-3098000704-2014777286-6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F9"/>
    <w:rsid w:val="00000FC9"/>
    <w:rsid w:val="000012DA"/>
    <w:rsid w:val="00001F81"/>
    <w:rsid w:val="0000246E"/>
    <w:rsid w:val="00003862"/>
    <w:rsid w:val="0000427E"/>
    <w:rsid w:val="00004A46"/>
    <w:rsid w:val="0000524F"/>
    <w:rsid w:val="00005569"/>
    <w:rsid w:val="00012A35"/>
    <w:rsid w:val="00016099"/>
    <w:rsid w:val="00017DC2"/>
    <w:rsid w:val="000212AA"/>
    <w:rsid w:val="00021522"/>
    <w:rsid w:val="00023471"/>
    <w:rsid w:val="00023910"/>
    <w:rsid w:val="00023F13"/>
    <w:rsid w:val="000254D1"/>
    <w:rsid w:val="00030634"/>
    <w:rsid w:val="000319C1"/>
    <w:rsid w:val="00031A8B"/>
    <w:rsid w:val="00031BCA"/>
    <w:rsid w:val="000330FA"/>
    <w:rsid w:val="0003362F"/>
    <w:rsid w:val="00035EBB"/>
    <w:rsid w:val="00036B63"/>
    <w:rsid w:val="00037E1A"/>
    <w:rsid w:val="00043495"/>
    <w:rsid w:val="0004579E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0FEE"/>
    <w:rsid w:val="000615A5"/>
    <w:rsid w:val="00061E8F"/>
    <w:rsid w:val="000645FB"/>
    <w:rsid w:val="00064E4C"/>
    <w:rsid w:val="00066901"/>
    <w:rsid w:val="00067143"/>
    <w:rsid w:val="0006799F"/>
    <w:rsid w:val="0007068E"/>
    <w:rsid w:val="000709C6"/>
    <w:rsid w:val="00071BEE"/>
    <w:rsid w:val="000736CD"/>
    <w:rsid w:val="0007533B"/>
    <w:rsid w:val="0007545D"/>
    <w:rsid w:val="000760BF"/>
    <w:rsid w:val="0007613E"/>
    <w:rsid w:val="00076BFC"/>
    <w:rsid w:val="000814A7"/>
    <w:rsid w:val="000829BD"/>
    <w:rsid w:val="00085502"/>
    <w:rsid w:val="0008557B"/>
    <w:rsid w:val="00085CE7"/>
    <w:rsid w:val="000906EE"/>
    <w:rsid w:val="000918D3"/>
    <w:rsid w:val="00091BA2"/>
    <w:rsid w:val="000944EF"/>
    <w:rsid w:val="00094981"/>
    <w:rsid w:val="0009732D"/>
    <w:rsid w:val="000973F0"/>
    <w:rsid w:val="000A1296"/>
    <w:rsid w:val="000A15AC"/>
    <w:rsid w:val="000A1C27"/>
    <w:rsid w:val="000A1DAD"/>
    <w:rsid w:val="000A2649"/>
    <w:rsid w:val="000A323B"/>
    <w:rsid w:val="000A553B"/>
    <w:rsid w:val="000B298D"/>
    <w:rsid w:val="000B5B2D"/>
    <w:rsid w:val="000B5DCE"/>
    <w:rsid w:val="000B7716"/>
    <w:rsid w:val="000C05BA"/>
    <w:rsid w:val="000C0E8F"/>
    <w:rsid w:val="000C4BC4"/>
    <w:rsid w:val="000C5390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B6A"/>
    <w:rsid w:val="000F2BE3"/>
    <w:rsid w:val="000F3D0D"/>
    <w:rsid w:val="000F541B"/>
    <w:rsid w:val="000F6ED4"/>
    <w:rsid w:val="000F7A6E"/>
    <w:rsid w:val="0010311B"/>
    <w:rsid w:val="001042BA"/>
    <w:rsid w:val="00106D03"/>
    <w:rsid w:val="00110465"/>
    <w:rsid w:val="00110628"/>
    <w:rsid w:val="00110793"/>
    <w:rsid w:val="00111ABB"/>
    <w:rsid w:val="0011245A"/>
    <w:rsid w:val="0011493E"/>
    <w:rsid w:val="00115B72"/>
    <w:rsid w:val="00115E30"/>
    <w:rsid w:val="001207C1"/>
    <w:rsid w:val="001209EC"/>
    <w:rsid w:val="00120A9E"/>
    <w:rsid w:val="0012365B"/>
    <w:rsid w:val="001254FA"/>
    <w:rsid w:val="00125A9C"/>
    <w:rsid w:val="001270A2"/>
    <w:rsid w:val="00127AAA"/>
    <w:rsid w:val="00131237"/>
    <w:rsid w:val="001327C3"/>
    <w:rsid w:val="001329AC"/>
    <w:rsid w:val="001340EF"/>
    <w:rsid w:val="00134CA0"/>
    <w:rsid w:val="00136667"/>
    <w:rsid w:val="0014026F"/>
    <w:rsid w:val="00147A47"/>
    <w:rsid w:val="00147AA1"/>
    <w:rsid w:val="00151C04"/>
    <w:rsid w:val="001520CF"/>
    <w:rsid w:val="00154285"/>
    <w:rsid w:val="0015667C"/>
    <w:rsid w:val="00157110"/>
    <w:rsid w:val="0015742A"/>
    <w:rsid w:val="00157DA1"/>
    <w:rsid w:val="00161169"/>
    <w:rsid w:val="00163147"/>
    <w:rsid w:val="00163701"/>
    <w:rsid w:val="00164C57"/>
    <w:rsid w:val="00164C9D"/>
    <w:rsid w:val="00166CE8"/>
    <w:rsid w:val="00172F7A"/>
    <w:rsid w:val="00173010"/>
    <w:rsid w:val="00173150"/>
    <w:rsid w:val="00173390"/>
    <w:rsid w:val="001733F4"/>
    <w:rsid w:val="001736F0"/>
    <w:rsid w:val="00173BB3"/>
    <w:rsid w:val="001740D0"/>
    <w:rsid w:val="00174F2C"/>
    <w:rsid w:val="00180EFA"/>
    <w:rsid w:val="00180F2A"/>
    <w:rsid w:val="00184B91"/>
    <w:rsid w:val="00184D4A"/>
    <w:rsid w:val="00186EC1"/>
    <w:rsid w:val="00187C5F"/>
    <w:rsid w:val="00191E1F"/>
    <w:rsid w:val="00193F65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3EB9"/>
    <w:rsid w:val="001A5BEF"/>
    <w:rsid w:val="001A6DE2"/>
    <w:rsid w:val="001A7F15"/>
    <w:rsid w:val="001B1B1E"/>
    <w:rsid w:val="001B342E"/>
    <w:rsid w:val="001C0128"/>
    <w:rsid w:val="001C1832"/>
    <w:rsid w:val="001C188C"/>
    <w:rsid w:val="001D1783"/>
    <w:rsid w:val="001D26B6"/>
    <w:rsid w:val="001D35FE"/>
    <w:rsid w:val="001D53CD"/>
    <w:rsid w:val="001D55A3"/>
    <w:rsid w:val="001D5AF5"/>
    <w:rsid w:val="001D6E39"/>
    <w:rsid w:val="001E1E73"/>
    <w:rsid w:val="001E2406"/>
    <w:rsid w:val="001E3643"/>
    <w:rsid w:val="001E4E0C"/>
    <w:rsid w:val="001E526D"/>
    <w:rsid w:val="001E5655"/>
    <w:rsid w:val="001F1832"/>
    <w:rsid w:val="001F220F"/>
    <w:rsid w:val="001F25B3"/>
    <w:rsid w:val="001F3FD2"/>
    <w:rsid w:val="001F6616"/>
    <w:rsid w:val="00201286"/>
    <w:rsid w:val="00202BD4"/>
    <w:rsid w:val="00204A97"/>
    <w:rsid w:val="00205887"/>
    <w:rsid w:val="0020650B"/>
    <w:rsid w:val="00210F69"/>
    <w:rsid w:val="002114EF"/>
    <w:rsid w:val="002166AD"/>
    <w:rsid w:val="00217733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561"/>
    <w:rsid w:val="002473A0"/>
    <w:rsid w:val="002501A3"/>
    <w:rsid w:val="00250B6F"/>
    <w:rsid w:val="0025166C"/>
    <w:rsid w:val="00252FEE"/>
    <w:rsid w:val="002555D4"/>
    <w:rsid w:val="00261A16"/>
    <w:rsid w:val="00263522"/>
    <w:rsid w:val="002635E6"/>
    <w:rsid w:val="00264EC6"/>
    <w:rsid w:val="00265E67"/>
    <w:rsid w:val="0026617A"/>
    <w:rsid w:val="00267113"/>
    <w:rsid w:val="00271013"/>
    <w:rsid w:val="00273FE4"/>
    <w:rsid w:val="002765B4"/>
    <w:rsid w:val="00276A94"/>
    <w:rsid w:val="002866C5"/>
    <w:rsid w:val="00291305"/>
    <w:rsid w:val="0029153A"/>
    <w:rsid w:val="0029405D"/>
    <w:rsid w:val="00294FA6"/>
    <w:rsid w:val="00295A6F"/>
    <w:rsid w:val="002979E7"/>
    <w:rsid w:val="00297D69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F7B"/>
    <w:rsid w:val="002C3DC0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11D"/>
    <w:rsid w:val="002E5243"/>
    <w:rsid w:val="002E5B80"/>
    <w:rsid w:val="002E5F79"/>
    <w:rsid w:val="002E64FA"/>
    <w:rsid w:val="002E77E1"/>
    <w:rsid w:val="002F0A00"/>
    <w:rsid w:val="002F0CFA"/>
    <w:rsid w:val="002F4014"/>
    <w:rsid w:val="002F5D4B"/>
    <w:rsid w:val="002F669F"/>
    <w:rsid w:val="00301C97"/>
    <w:rsid w:val="0031004C"/>
    <w:rsid w:val="00310504"/>
    <w:rsid w:val="003105F6"/>
    <w:rsid w:val="00311297"/>
    <w:rsid w:val="003113BE"/>
    <w:rsid w:val="003122CA"/>
    <w:rsid w:val="003148FD"/>
    <w:rsid w:val="00317C5E"/>
    <w:rsid w:val="00321080"/>
    <w:rsid w:val="003214FF"/>
    <w:rsid w:val="00322D45"/>
    <w:rsid w:val="0032569A"/>
    <w:rsid w:val="00325A1F"/>
    <w:rsid w:val="003268F9"/>
    <w:rsid w:val="00330BAF"/>
    <w:rsid w:val="00334E3A"/>
    <w:rsid w:val="00335625"/>
    <w:rsid w:val="003361DD"/>
    <w:rsid w:val="00337156"/>
    <w:rsid w:val="00337D4A"/>
    <w:rsid w:val="00341A6A"/>
    <w:rsid w:val="00345B9C"/>
    <w:rsid w:val="0034669F"/>
    <w:rsid w:val="00352DAE"/>
    <w:rsid w:val="00353B3C"/>
    <w:rsid w:val="003545DA"/>
    <w:rsid w:val="00354EB9"/>
    <w:rsid w:val="003602AE"/>
    <w:rsid w:val="00360929"/>
    <w:rsid w:val="0036268D"/>
    <w:rsid w:val="003647D5"/>
    <w:rsid w:val="00364DCF"/>
    <w:rsid w:val="0036577F"/>
    <w:rsid w:val="003674B0"/>
    <w:rsid w:val="00373C3D"/>
    <w:rsid w:val="0037476D"/>
    <w:rsid w:val="0037727C"/>
    <w:rsid w:val="00377E70"/>
    <w:rsid w:val="00380904"/>
    <w:rsid w:val="003823EE"/>
    <w:rsid w:val="00382769"/>
    <w:rsid w:val="00382960"/>
    <w:rsid w:val="003846F7"/>
    <w:rsid w:val="003851ED"/>
    <w:rsid w:val="00385B39"/>
    <w:rsid w:val="00386785"/>
    <w:rsid w:val="00390E89"/>
    <w:rsid w:val="00391B1A"/>
    <w:rsid w:val="00394423"/>
    <w:rsid w:val="00394FE3"/>
    <w:rsid w:val="00395B71"/>
    <w:rsid w:val="00396942"/>
    <w:rsid w:val="00396B49"/>
    <w:rsid w:val="00396E3E"/>
    <w:rsid w:val="003A0CB1"/>
    <w:rsid w:val="003A306E"/>
    <w:rsid w:val="003A60DC"/>
    <w:rsid w:val="003A6A46"/>
    <w:rsid w:val="003A7A63"/>
    <w:rsid w:val="003B000C"/>
    <w:rsid w:val="003B0F1D"/>
    <w:rsid w:val="003B4A57"/>
    <w:rsid w:val="003B5969"/>
    <w:rsid w:val="003C0AD9"/>
    <w:rsid w:val="003C0ED0"/>
    <w:rsid w:val="003C1D49"/>
    <w:rsid w:val="003C35C4"/>
    <w:rsid w:val="003C53FF"/>
    <w:rsid w:val="003C54F7"/>
    <w:rsid w:val="003C5BBE"/>
    <w:rsid w:val="003C6125"/>
    <w:rsid w:val="003C687B"/>
    <w:rsid w:val="003D0295"/>
    <w:rsid w:val="003D12C2"/>
    <w:rsid w:val="003D31B9"/>
    <w:rsid w:val="003D3867"/>
    <w:rsid w:val="003E0611"/>
    <w:rsid w:val="003E0D1A"/>
    <w:rsid w:val="003E18A0"/>
    <w:rsid w:val="003E2DA3"/>
    <w:rsid w:val="003F020D"/>
    <w:rsid w:val="003F03D9"/>
    <w:rsid w:val="003F2FBE"/>
    <w:rsid w:val="003F318D"/>
    <w:rsid w:val="003F388C"/>
    <w:rsid w:val="003F5BAE"/>
    <w:rsid w:val="003F6ED7"/>
    <w:rsid w:val="00401C84"/>
    <w:rsid w:val="00403210"/>
    <w:rsid w:val="004035BB"/>
    <w:rsid w:val="004035EB"/>
    <w:rsid w:val="004054B3"/>
    <w:rsid w:val="00407332"/>
    <w:rsid w:val="00407828"/>
    <w:rsid w:val="00413D8E"/>
    <w:rsid w:val="004140F2"/>
    <w:rsid w:val="00417B22"/>
    <w:rsid w:val="004200E4"/>
    <w:rsid w:val="00421085"/>
    <w:rsid w:val="0042465E"/>
    <w:rsid w:val="00424DF7"/>
    <w:rsid w:val="00425BFD"/>
    <w:rsid w:val="00432B76"/>
    <w:rsid w:val="00434D01"/>
    <w:rsid w:val="00435D26"/>
    <w:rsid w:val="004366B1"/>
    <w:rsid w:val="00440C99"/>
    <w:rsid w:val="0044175C"/>
    <w:rsid w:val="00445F4D"/>
    <w:rsid w:val="004464FA"/>
    <w:rsid w:val="00446B84"/>
    <w:rsid w:val="004504C0"/>
    <w:rsid w:val="0045066D"/>
    <w:rsid w:val="00450ECE"/>
    <w:rsid w:val="004539BF"/>
    <w:rsid w:val="00454DB3"/>
    <w:rsid w:val="004550FB"/>
    <w:rsid w:val="0046010D"/>
    <w:rsid w:val="00460F26"/>
    <w:rsid w:val="0046111A"/>
    <w:rsid w:val="00461AE6"/>
    <w:rsid w:val="00462946"/>
    <w:rsid w:val="00463F43"/>
    <w:rsid w:val="00464B94"/>
    <w:rsid w:val="0046532A"/>
    <w:rsid w:val="004653A8"/>
    <w:rsid w:val="00465A0B"/>
    <w:rsid w:val="004679EB"/>
    <w:rsid w:val="0047077C"/>
    <w:rsid w:val="00470B05"/>
    <w:rsid w:val="0047207C"/>
    <w:rsid w:val="00472A7F"/>
    <w:rsid w:val="00472CD6"/>
    <w:rsid w:val="00474E3C"/>
    <w:rsid w:val="00474F5F"/>
    <w:rsid w:val="00475395"/>
    <w:rsid w:val="00480A58"/>
    <w:rsid w:val="00482151"/>
    <w:rsid w:val="00485FAD"/>
    <w:rsid w:val="00487AED"/>
    <w:rsid w:val="00491EDF"/>
    <w:rsid w:val="0049279F"/>
    <w:rsid w:val="00492A3F"/>
    <w:rsid w:val="00494CAE"/>
    <w:rsid w:val="00494F62"/>
    <w:rsid w:val="004A2001"/>
    <w:rsid w:val="004A2C9D"/>
    <w:rsid w:val="004A3590"/>
    <w:rsid w:val="004A3C5C"/>
    <w:rsid w:val="004B00A7"/>
    <w:rsid w:val="004B0BF9"/>
    <w:rsid w:val="004B25E2"/>
    <w:rsid w:val="004B34D7"/>
    <w:rsid w:val="004B5037"/>
    <w:rsid w:val="004B5B2F"/>
    <w:rsid w:val="004B626A"/>
    <w:rsid w:val="004B660E"/>
    <w:rsid w:val="004C05BD"/>
    <w:rsid w:val="004C2A79"/>
    <w:rsid w:val="004C3527"/>
    <w:rsid w:val="004C3B06"/>
    <w:rsid w:val="004C3F97"/>
    <w:rsid w:val="004C4E9E"/>
    <w:rsid w:val="004C58B8"/>
    <w:rsid w:val="004C5AEE"/>
    <w:rsid w:val="004C7EE7"/>
    <w:rsid w:val="004D2DEE"/>
    <w:rsid w:val="004D2E1F"/>
    <w:rsid w:val="004D7FD9"/>
    <w:rsid w:val="004E1324"/>
    <w:rsid w:val="004E19A5"/>
    <w:rsid w:val="004E37E5"/>
    <w:rsid w:val="004E3F3B"/>
    <w:rsid w:val="004E3FDB"/>
    <w:rsid w:val="004F1F4A"/>
    <w:rsid w:val="004F296D"/>
    <w:rsid w:val="004F508B"/>
    <w:rsid w:val="004F59D4"/>
    <w:rsid w:val="004F5C2D"/>
    <w:rsid w:val="004F695F"/>
    <w:rsid w:val="004F6CA4"/>
    <w:rsid w:val="0050026C"/>
    <w:rsid w:val="00500752"/>
    <w:rsid w:val="005008ED"/>
    <w:rsid w:val="0050176A"/>
    <w:rsid w:val="00501A50"/>
    <w:rsid w:val="0050222D"/>
    <w:rsid w:val="00503AF3"/>
    <w:rsid w:val="00505FFF"/>
    <w:rsid w:val="0050696D"/>
    <w:rsid w:val="00510317"/>
    <w:rsid w:val="0051094B"/>
    <w:rsid w:val="005110D7"/>
    <w:rsid w:val="00511D99"/>
    <w:rsid w:val="0051287A"/>
    <w:rsid w:val="005128D3"/>
    <w:rsid w:val="005147E8"/>
    <w:rsid w:val="0051508A"/>
    <w:rsid w:val="005158F2"/>
    <w:rsid w:val="00526DFC"/>
    <w:rsid w:val="00526F43"/>
    <w:rsid w:val="00527651"/>
    <w:rsid w:val="005304D6"/>
    <w:rsid w:val="005363AB"/>
    <w:rsid w:val="00544EF4"/>
    <w:rsid w:val="00545E53"/>
    <w:rsid w:val="005479D9"/>
    <w:rsid w:val="005527B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4B5"/>
    <w:rsid w:val="00572512"/>
    <w:rsid w:val="00573EE6"/>
    <w:rsid w:val="0057547F"/>
    <w:rsid w:val="005754EE"/>
    <w:rsid w:val="0057617E"/>
    <w:rsid w:val="00576497"/>
    <w:rsid w:val="00577739"/>
    <w:rsid w:val="005778A9"/>
    <w:rsid w:val="00582402"/>
    <w:rsid w:val="005835E7"/>
    <w:rsid w:val="0058397F"/>
    <w:rsid w:val="00583BF8"/>
    <w:rsid w:val="00585F33"/>
    <w:rsid w:val="00591124"/>
    <w:rsid w:val="00591FDC"/>
    <w:rsid w:val="005931D5"/>
    <w:rsid w:val="00597024"/>
    <w:rsid w:val="005A0274"/>
    <w:rsid w:val="005A095C"/>
    <w:rsid w:val="005A2982"/>
    <w:rsid w:val="005A4380"/>
    <w:rsid w:val="005A669D"/>
    <w:rsid w:val="005A74B0"/>
    <w:rsid w:val="005A75D8"/>
    <w:rsid w:val="005A7E1D"/>
    <w:rsid w:val="005B4B40"/>
    <w:rsid w:val="005B713E"/>
    <w:rsid w:val="005C03B6"/>
    <w:rsid w:val="005C1B92"/>
    <w:rsid w:val="005C2AFA"/>
    <w:rsid w:val="005C348E"/>
    <w:rsid w:val="005C44D2"/>
    <w:rsid w:val="005C5E34"/>
    <w:rsid w:val="005C68E1"/>
    <w:rsid w:val="005D006B"/>
    <w:rsid w:val="005D096F"/>
    <w:rsid w:val="005D120B"/>
    <w:rsid w:val="005D3763"/>
    <w:rsid w:val="005D4D1E"/>
    <w:rsid w:val="005D5306"/>
    <w:rsid w:val="005D55E1"/>
    <w:rsid w:val="005E19F7"/>
    <w:rsid w:val="005E3F0D"/>
    <w:rsid w:val="005E442E"/>
    <w:rsid w:val="005E4F04"/>
    <w:rsid w:val="005E62C2"/>
    <w:rsid w:val="005E6C71"/>
    <w:rsid w:val="005F0963"/>
    <w:rsid w:val="005F20E5"/>
    <w:rsid w:val="005F2824"/>
    <w:rsid w:val="005F2EBA"/>
    <w:rsid w:val="005F35ED"/>
    <w:rsid w:val="005F57A7"/>
    <w:rsid w:val="005F5E10"/>
    <w:rsid w:val="005F669D"/>
    <w:rsid w:val="005F7812"/>
    <w:rsid w:val="005F7A88"/>
    <w:rsid w:val="0060131B"/>
    <w:rsid w:val="00603A1A"/>
    <w:rsid w:val="006046D5"/>
    <w:rsid w:val="006055B9"/>
    <w:rsid w:val="00607A93"/>
    <w:rsid w:val="00610C08"/>
    <w:rsid w:val="006111B9"/>
    <w:rsid w:val="00611F74"/>
    <w:rsid w:val="00612F54"/>
    <w:rsid w:val="00615772"/>
    <w:rsid w:val="00620421"/>
    <w:rsid w:val="00621256"/>
    <w:rsid w:val="00621787"/>
    <w:rsid w:val="00621FCC"/>
    <w:rsid w:val="00622E4B"/>
    <w:rsid w:val="006333DA"/>
    <w:rsid w:val="00633473"/>
    <w:rsid w:val="00635134"/>
    <w:rsid w:val="006356E2"/>
    <w:rsid w:val="00635B6E"/>
    <w:rsid w:val="00637BF5"/>
    <w:rsid w:val="00641A3F"/>
    <w:rsid w:val="00642A65"/>
    <w:rsid w:val="00644B0A"/>
    <w:rsid w:val="00645DCE"/>
    <w:rsid w:val="006465AC"/>
    <w:rsid w:val="006465BF"/>
    <w:rsid w:val="00653B22"/>
    <w:rsid w:val="00653F7B"/>
    <w:rsid w:val="00657BF4"/>
    <w:rsid w:val="006603FB"/>
    <w:rsid w:val="006608DF"/>
    <w:rsid w:val="00660A67"/>
    <w:rsid w:val="006617D9"/>
    <w:rsid w:val="0066230D"/>
    <w:rsid w:val="006623AC"/>
    <w:rsid w:val="00666241"/>
    <w:rsid w:val="006678AF"/>
    <w:rsid w:val="006679B0"/>
    <w:rsid w:val="006701EF"/>
    <w:rsid w:val="00672401"/>
    <w:rsid w:val="00673BA5"/>
    <w:rsid w:val="00680058"/>
    <w:rsid w:val="00681AE0"/>
    <w:rsid w:val="00681F9F"/>
    <w:rsid w:val="00682893"/>
    <w:rsid w:val="00682949"/>
    <w:rsid w:val="006840EA"/>
    <w:rsid w:val="006844E2"/>
    <w:rsid w:val="00685267"/>
    <w:rsid w:val="006872AE"/>
    <w:rsid w:val="00690082"/>
    <w:rsid w:val="00690252"/>
    <w:rsid w:val="00692E09"/>
    <w:rsid w:val="00693732"/>
    <w:rsid w:val="006946BB"/>
    <w:rsid w:val="006952DA"/>
    <w:rsid w:val="006967AE"/>
    <w:rsid w:val="006969FA"/>
    <w:rsid w:val="006A08FA"/>
    <w:rsid w:val="006A1470"/>
    <w:rsid w:val="006A35D5"/>
    <w:rsid w:val="006A5B36"/>
    <w:rsid w:val="006A748A"/>
    <w:rsid w:val="006A7ECD"/>
    <w:rsid w:val="006B363F"/>
    <w:rsid w:val="006B3B18"/>
    <w:rsid w:val="006C210D"/>
    <w:rsid w:val="006C3DC3"/>
    <w:rsid w:val="006C419E"/>
    <w:rsid w:val="006C4A31"/>
    <w:rsid w:val="006C4B47"/>
    <w:rsid w:val="006C4E15"/>
    <w:rsid w:val="006C5AC2"/>
    <w:rsid w:val="006C6AFB"/>
    <w:rsid w:val="006D2735"/>
    <w:rsid w:val="006D2CFB"/>
    <w:rsid w:val="006D45B2"/>
    <w:rsid w:val="006D62E9"/>
    <w:rsid w:val="006E0FCC"/>
    <w:rsid w:val="006E1E96"/>
    <w:rsid w:val="006E435B"/>
    <w:rsid w:val="006E5E21"/>
    <w:rsid w:val="006F2648"/>
    <w:rsid w:val="006F2749"/>
    <w:rsid w:val="006F2F10"/>
    <w:rsid w:val="006F3175"/>
    <w:rsid w:val="006F482B"/>
    <w:rsid w:val="006F6311"/>
    <w:rsid w:val="00701952"/>
    <w:rsid w:val="00702556"/>
    <w:rsid w:val="0070277E"/>
    <w:rsid w:val="00704156"/>
    <w:rsid w:val="007069FC"/>
    <w:rsid w:val="00710926"/>
    <w:rsid w:val="00711221"/>
    <w:rsid w:val="00712061"/>
    <w:rsid w:val="00712675"/>
    <w:rsid w:val="00713808"/>
    <w:rsid w:val="0071474F"/>
    <w:rsid w:val="007151B6"/>
    <w:rsid w:val="0071520D"/>
    <w:rsid w:val="00715EDB"/>
    <w:rsid w:val="007160D5"/>
    <w:rsid w:val="007163FB"/>
    <w:rsid w:val="00716F90"/>
    <w:rsid w:val="00717C2E"/>
    <w:rsid w:val="007204FA"/>
    <w:rsid w:val="007213B3"/>
    <w:rsid w:val="00722888"/>
    <w:rsid w:val="00723CAB"/>
    <w:rsid w:val="0072457F"/>
    <w:rsid w:val="00724ECA"/>
    <w:rsid w:val="00725406"/>
    <w:rsid w:val="00725D2F"/>
    <w:rsid w:val="0072621B"/>
    <w:rsid w:val="00730555"/>
    <w:rsid w:val="007312CC"/>
    <w:rsid w:val="00731515"/>
    <w:rsid w:val="007320B6"/>
    <w:rsid w:val="00736A64"/>
    <w:rsid w:val="00737F6A"/>
    <w:rsid w:val="0074010C"/>
    <w:rsid w:val="007410B6"/>
    <w:rsid w:val="007448E5"/>
    <w:rsid w:val="00744C6F"/>
    <w:rsid w:val="007457F6"/>
    <w:rsid w:val="00745ABB"/>
    <w:rsid w:val="00746E38"/>
    <w:rsid w:val="00747CD5"/>
    <w:rsid w:val="0075145D"/>
    <w:rsid w:val="00753B51"/>
    <w:rsid w:val="00754C1F"/>
    <w:rsid w:val="00756629"/>
    <w:rsid w:val="0075670A"/>
    <w:rsid w:val="007575D2"/>
    <w:rsid w:val="00757B4F"/>
    <w:rsid w:val="00757B6A"/>
    <w:rsid w:val="007610E0"/>
    <w:rsid w:val="007621AA"/>
    <w:rsid w:val="0076260A"/>
    <w:rsid w:val="00764691"/>
    <w:rsid w:val="00764A67"/>
    <w:rsid w:val="00767043"/>
    <w:rsid w:val="00770F6B"/>
    <w:rsid w:val="00771883"/>
    <w:rsid w:val="0077680A"/>
    <w:rsid w:val="00776DC2"/>
    <w:rsid w:val="0077761A"/>
    <w:rsid w:val="00777D29"/>
    <w:rsid w:val="00780122"/>
    <w:rsid w:val="00780DEB"/>
    <w:rsid w:val="0078214B"/>
    <w:rsid w:val="0078498A"/>
    <w:rsid w:val="00787581"/>
    <w:rsid w:val="007878FE"/>
    <w:rsid w:val="00790293"/>
    <w:rsid w:val="00792207"/>
    <w:rsid w:val="00792B64"/>
    <w:rsid w:val="00792E29"/>
    <w:rsid w:val="0079379A"/>
    <w:rsid w:val="00794953"/>
    <w:rsid w:val="00797629"/>
    <w:rsid w:val="007A1F2F"/>
    <w:rsid w:val="007A2A5C"/>
    <w:rsid w:val="007A5150"/>
    <w:rsid w:val="007A5373"/>
    <w:rsid w:val="007A789F"/>
    <w:rsid w:val="007B4E8B"/>
    <w:rsid w:val="007B75BC"/>
    <w:rsid w:val="007C0BD6"/>
    <w:rsid w:val="007C2854"/>
    <w:rsid w:val="007C3806"/>
    <w:rsid w:val="007C422B"/>
    <w:rsid w:val="007C4646"/>
    <w:rsid w:val="007C4D53"/>
    <w:rsid w:val="007C5BB7"/>
    <w:rsid w:val="007C6D97"/>
    <w:rsid w:val="007D07D5"/>
    <w:rsid w:val="007D1C64"/>
    <w:rsid w:val="007D32DD"/>
    <w:rsid w:val="007D6DCE"/>
    <w:rsid w:val="007D72C4"/>
    <w:rsid w:val="007E17CA"/>
    <w:rsid w:val="007E2CFE"/>
    <w:rsid w:val="007E3D6A"/>
    <w:rsid w:val="007E59C9"/>
    <w:rsid w:val="007F0072"/>
    <w:rsid w:val="007F02F0"/>
    <w:rsid w:val="007F2EB6"/>
    <w:rsid w:val="007F37E9"/>
    <w:rsid w:val="007F4E81"/>
    <w:rsid w:val="007F54C3"/>
    <w:rsid w:val="00802949"/>
    <w:rsid w:val="0080301E"/>
    <w:rsid w:val="0080365F"/>
    <w:rsid w:val="00807277"/>
    <w:rsid w:val="008122EC"/>
    <w:rsid w:val="00812BE5"/>
    <w:rsid w:val="00812F9D"/>
    <w:rsid w:val="008170D9"/>
    <w:rsid w:val="00817429"/>
    <w:rsid w:val="00821514"/>
    <w:rsid w:val="00821E35"/>
    <w:rsid w:val="00824591"/>
    <w:rsid w:val="00824AED"/>
    <w:rsid w:val="00826B83"/>
    <w:rsid w:val="00827820"/>
    <w:rsid w:val="00831911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6DCA"/>
    <w:rsid w:val="00850C9D"/>
    <w:rsid w:val="00852B59"/>
    <w:rsid w:val="00853EB4"/>
    <w:rsid w:val="00856272"/>
    <w:rsid w:val="008563FF"/>
    <w:rsid w:val="008565D1"/>
    <w:rsid w:val="008577F5"/>
    <w:rsid w:val="0086018B"/>
    <w:rsid w:val="008611DD"/>
    <w:rsid w:val="008620DE"/>
    <w:rsid w:val="00864614"/>
    <w:rsid w:val="00865E46"/>
    <w:rsid w:val="0086628D"/>
    <w:rsid w:val="00866867"/>
    <w:rsid w:val="008712E7"/>
    <w:rsid w:val="00872257"/>
    <w:rsid w:val="008753E6"/>
    <w:rsid w:val="0087738C"/>
    <w:rsid w:val="00877B4D"/>
    <w:rsid w:val="008802AF"/>
    <w:rsid w:val="00881482"/>
    <w:rsid w:val="008818C0"/>
    <w:rsid w:val="00881926"/>
    <w:rsid w:val="0088318F"/>
    <w:rsid w:val="0088331D"/>
    <w:rsid w:val="008852B0"/>
    <w:rsid w:val="00885829"/>
    <w:rsid w:val="00885AE7"/>
    <w:rsid w:val="00886536"/>
    <w:rsid w:val="00886B60"/>
    <w:rsid w:val="00887889"/>
    <w:rsid w:val="0089035B"/>
    <w:rsid w:val="008920FF"/>
    <w:rsid w:val="008926E8"/>
    <w:rsid w:val="00894F19"/>
    <w:rsid w:val="00894FCE"/>
    <w:rsid w:val="00896A10"/>
    <w:rsid w:val="008971B5"/>
    <w:rsid w:val="008971CE"/>
    <w:rsid w:val="008A1A6D"/>
    <w:rsid w:val="008A5D26"/>
    <w:rsid w:val="008A6B13"/>
    <w:rsid w:val="008A6ECB"/>
    <w:rsid w:val="008A78C4"/>
    <w:rsid w:val="008B0BF9"/>
    <w:rsid w:val="008B10DF"/>
    <w:rsid w:val="008B12A5"/>
    <w:rsid w:val="008B2866"/>
    <w:rsid w:val="008B3859"/>
    <w:rsid w:val="008B436D"/>
    <w:rsid w:val="008B4E49"/>
    <w:rsid w:val="008B7712"/>
    <w:rsid w:val="008B7B26"/>
    <w:rsid w:val="008C00C3"/>
    <w:rsid w:val="008C20A9"/>
    <w:rsid w:val="008C3524"/>
    <w:rsid w:val="008C4061"/>
    <w:rsid w:val="008C4229"/>
    <w:rsid w:val="008C5BE0"/>
    <w:rsid w:val="008C7233"/>
    <w:rsid w:val="008D2434"/>
    <w:rsid w:val="008D269F"/>
    <w:rsid w:val="008D69AB"/>
    <w:rsid w:val="008D7D56"/>
    <w:rsid w:val="008E171D"/>
    <w:rsid w:val="008E2785"/>
    <w:rsid w:val="008E4D5C"/>
    <w:rsid w:val="008E78A3"/>
    <w:rsid w:val="008F0654"/>
    <w:rsid w:val="008F06CB"/>
    <w:rsid w:val="008F24EC"/>
    <w:rsid w:val="008F2E83"/>
    <w:rsid w:val="008F4531"/>
    <w:rsid w:val="008F56A3"/>
    <w:rsid w:val="008F612A"/>
    <w:rsid w:val="008F785E"/>
    <w:rsid w:val="0090286E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BF5"/>
    <w:rsid w:val="00917CE5"/>
    <w:rsid w:val="009217C0"/>
    <w:rsid w:val="0092308A"/>
    <w:rsid w:val="00925241"/>
    <w:rsid w:val="009259BA"/>
    <w:rsid w:val="00925CEC"/>
    <w:rsid w:val="00926A3F"/>
    <w:rsid w:val="0092794E"/>
    <w:rsid w:val="00930D30"/>
    <w:rsid w:val="009332A2"/>
    <w:rsid w:val="0093400D"/>
    <w:rsid w:val="0093534A"/>
    <w:rsid w:val="00937598"/>
    <w:rsid w:val="0093790B"/>
    <w:rsid w:val="00937EDC"/>
    <w:rsid w:val="00940346"/>
    <w:rsid w:val="00941E46"/>
    <w:rsid w:val="00942C48"/>
    <w:rsid w:val="00943751"/>
    <w:rsid w:val="00946DD0"/>
    <w:rsid w:val="009509E6"/>
    <w:rsid w:val="009516FE"/>
    <w:rsid w:val="00952018"/>
    <w:rsid w:val="00952800"/>
    <w:rsid w:val="0095300D"/>
    <w:rsid w:val="009555B5"/>
    <w:rsid w:val="00956812"/>
    <w:rsid w:val="0095719A"/>
    <w:rsid w:val="009606B5"/>
    <w:rsid w:val="009623E9"/>
    <w:rsid w:val="00963EEB"/>
    <w:rsid w:val="009648BC"/>
    <w:rsid w:val="00964C2F"/>
    <w:rsid w:val="00965F88"/>
    <w:rsid w:val="00975B74"/>
    <w:rsid w:val="00976C90"/>
    <w:rsid w:val="00984936"/>
    <w:rsid w:val="00984E03"/>
    <w:rsid w:val="00987E85"/>
    <w:rsid w:val="009A0938"/>
    <w:rsid w:val="009A0D12"/>
    <w:rsid w:val="009A1987"/>
    <w:rsid w:val="009A2BEE"/>
    <w:rsid w:val="009A41A8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B81"/>
    <w:rsid w:val="009D3316"/>
    <w:rsid w:val="009D3687"/>
    <w:rsid w:val="009D55AA"/>
    <w:rsid w:val="009D62EE"/>
    <w:rsid w:val="009E3E77"/>
    <w:rsid w:val="009E3FAB"/>
    <w:rsid w:val="009E5B3F"/>
    <w:rsid w:val="009E7D90"/>
    <w:rsid w:val="009F1AB0"/>
    <w:rsid w:val="009F501D"/>
    <w:rsid w:val="00A039D5"/>
    <w:rsid w:val="00A03F5C"/>
    <w:rsid w:val="00A046AD"/>
    <w:rsid w:val="00A04CD0"/>
    <w:rsid w:val="00A079C1"/>
    <w:rsid w:val="00A12520"/>
    <w:rsid w:val="00A130FD"/>
    <w:rsid w:val="00A13D6D"/>
    <w:rsid w:val="00A14769"/>
    <w:rsid w:val="00A16151"/>
    <w:rsid w:val="00A16EC6"/>
    <w:rsid w:val="00A17C06"/>
    <w:rsid w:val="00A20B46"/>
    <w:rsid w:val="00A2126E"/>
    <w:rsid w:val="00A21578"/>
    <w:rsid w:val="00A21706"/>
    <w:rsid w:val="00A24FCC"/>
    <w:rsid w:val="00A26A90"/>
    <w:rsid w:val="00A26B27"/>
    <w:rsid w:val="00A30E4F"/>
    <w:rsid w:val="00A32253"/>
    <w:rsid w:val="00A3310E"/>
    <w:rsid w:val="00A333A0"/>
    <w:rsid w:val="00A36F3F"/>
    <w:rsid w:val="00A37265"/>
    <w:rsid w:val="00A37E70"/>
    <w:rsid w:val="00A437E1"/>
    <w:rsid w:val="00A4565F"/>
    <w:rsid w:val="00A4685E"/>
    <w:rsid w:val="00A50CD4"/>
    <w:rsid w:val="00A51191"/>
    <w:rsid w:val="00A51AE7"/>
    <w:rsid w:val="00A56D62"/>
    <w:rsid w:val="00A56F07"/>
    <w:rsid w:val="00A5762C"/>
    <w:rsid w:val="00A6005B"/>
    <w:rsid w:val="00A600FC"/>
    <w:rsid w:val="00A60BCA"/>
    <w:rsid w:val="00A638DA"/>
    <w:rsid w:val="00A64A39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144"/>
    <w:rsid w:val="00A94574"/>
    <w:rsid w:val="00A95936"/>
    <w:rsid w:val="00A96109"/>
    <w:rsid w:val="00A96265"/>
    <w:rsid w:val="00A97084"/>
    <w:rsid w:val="00AA1C2C"/>
    <w:rsid w:val="00AA35F6"/>
    <w:rsid w:val="00AA3B00"/>
    <w:rsid w:val="00AA51FE"/>
    <w:rsid w:val="00AA667C"/>
    <w:rsid w:val="00AA6E91"/>
    <w:rsid w:val="00AA7439"/>
    <w:rsid w:val="00AB017B"/>
    <w:rsid w:val="00AB047E"/>
    <w:rsid w:val="00AB0B0A"/>
    <w:rsid w:val="00AB0BB7"/>
    <w:rsid w:val="00AB22C6"/>
    <w:rsid w:val="00AB2AD0"/>
    <w:rsid w:val="00AB3D53"/>
    <w:rsid w:val="00AB67FC"/>
    <w:rsid w:val="00AC00F2"/>
    <w:rsid w:val="00AC31B5"/>
    <w:rsid w:val="00AC4EA1"/>
    <w:rsid w:val="00AC5381"/>
    <w:rsid w:val="00AC5920"/>
    <w:rsid w:val="00AD0E65"/>
    <w:rsid w:val="00AD12AD"/>
    <w:rsid w:val="00AD1AB1"/>
    <w:rsid w:val="00AD2BF2"/>
    <w:rsid w:val="00AD4E90"/>
    <w:rsid w:val="00AD5422"/>
    <w:rsid w:val="00AE2E4D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341A"/>
    <w:rsid w:val="00B06F2A"/>
    <w:rsid w:val="00B07700"/>
    <w:rsid w:val="00B13815"/>
    <w:rsid w:val="00B13921"/>
    <w:rsid w:val="00B15202"/>
    <w:rsid w:val="00B1528C"/>
    <w:rsid w:val="00B16ACD"/>
    <w:rsid w:val="00B21487"/>
    <w:rsid w:val="00B22CA8"/>
    <w:rsid w:val="00B22F17"/>
    <w:rsid w:val="00B232D1"/>
    <w:rsid w:val="00B24DB5"/>
    <w:rsid w:val="00B26BEB"/>
    <w:rsid w:val="00B31F9E"/>
    <w:rsid w:val="00B3268F"/>
    <w:rsid w:val="00B32C2C"/>
    <w:rsid w:val="00B33A1A"/>
    <w:rsid w:val="00B33E6C"/>
    <w:rsid w:val="00B34641"/>
    <w:rsid w:val="00B34ADB"/>
    <w:rsid w:val="00B364CA"/>
    <w:rsid w:val="00B371CC"/>
    <w:rsid w:val="00B41CD9"/>
    <w:rsid w:val="00B427E6"/>
    <w:rsid w:val="00B428A6"/>
    <w:rsid w:val="00B43193"/>
    <w:rsid w:val="00B436C6"/>
    <w:rsid w:val="00B43E1F"/>
    <w:rsid w:val="00B45FBC"/>
    <w:rsid w:val="00B5027C"/>
    <w:rsid w:val="00B51A7D"/>
    <w:rsid w:val="00B535C2"/>
    <w:rsid w:val="00B54BEE"/>
    <w:rsid w:val="00B55414"/>
    <w:rsid w:val="00B55544"/>
    <w:rsid w:val="00B642FC"/>
    <w:rsid w:val="00B64D26"/>
    <w:rsid w:val="00B64FBB"/>
    <w:rsid w:val="00B65B32"/>
    <w:rsid w:val="00B70AF2"/>
    <w:rsid w:val="00B70E22"/>
    <w:rsid w:val="00B774CB"/>
    <w:rsid w:val="00B80402"/>
    <w:rsid w:val="00B80B9A"/>
    <w:rsid w:val="00B830B7"/>
    <w:rsid w:val="00B830E0"/>
    <w:rsid w:val="00B848EA"/>
    <w:rsid w:val="00B84B2B"/>
    <w:rsid w:val="00B87C7F"/>
    <w:rsid w:val="00B903AD"/>
    <w:rsid w:val="00B90500"/>
    <w:rsid w:val="00B9176C"/>
    <w:rsid w:val="00B935A4"/>
    <w:rsid w:val="00BA561A"/>
    <w:rsid w:val="00BA5F2A"/>
    <w:rsid w:val="00BB0DC6"/>
    <w:rsid w:val="00BB151B"/>
    <w:rsid w:val="00BB15E4"/>
    <w:rsid w:val="00BB1E19"/>
    <w:rsid w:val="00BB21D1"/>
    <w:rsid w:val="00BB32F2"/>
    <w:rsid w:val="00BB4338"/>
    <w:rsid w:val="00BB6C0E"/>
    <w:rsid w:val="00BB7A76"/>
    <w:rsid w:val="00BB7B38"/>
    <w:rsid w:val="00BC11E5"/>
    <w:rsid w:val="00BC15A2"/>
    <w:rsid w:val="00BC4BC6"/>
    <w:rsid w:val="00BC52FD"/>
    <w:rsid w:val="00BC60CF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5D9F"/>
    <w:rsid w:val="00BF2178"/>
    <w:rsid w:val="00BF3DDE"/>
    <w:rsid w:val="00BF5C3E"/>
    <w:rsid w:val="00BF6589"/>
    <w:rsid w:val="00BF6F7F"/>
    <w:rsid w:val="00C00647"/>
    <w:rsid w:val="00C02764"/>
    <w:rsid w:val="00C02E65"/>
    <w:rsid w:val="00C04649"/>
    <w:rsid w:val="00C04CEF"/>
    <w:rsid w:val="00C0662F"/>
    <w:rsid w:val="00C109A7"/>
    <w:rsid w:val="00C11943"/>
    <w:rsid w:val="00C12E96"/>
    <w:rsid w:val="00C14763"/>
    <w:rsid w:val="00C147A9"/>
    <w:rsid w:val="00C16141"/>
    <w:rsid w:val="00C17D1B"/>
    <w:rsid w:val="00C2363F"/>
    <w:rsid w:val="00C236C8"/>
    <w:rsid w:val="00C260B1"/>
    <w:rsid w:val="00C26E56"/>
    <w:rsid w:val="00C30D6D"/>
    <w:rsid w:val="00C31406"/>
    <w:rsid w:val="00C37194"/>
    <w:rsid w:val="00C40637"/>
    <w:rsid w:val="00C40F6C"/>
    <w:rsid w:val="00C442E0"/>
    <w:rsid w:val="00C44426"/>
    <w:rsid w:val="00C445F3"/>
    <w:rsid w:val="00C451F4"/>
    <w:rsid w:val="00C452FD"/>
    <w:rsid w:val="00C4595D"/>
    <w:rsid w:val="00C45EB1"/>
    <w:rsid w:val="00C51A7C"/>
    <w:rsid w:val="00C52994"/>
    <w:rsid w:val="00C54A3A"/>
    <w:rsid w:val="00C55566"/>
    <w:rsid w:val="00C56448"/>
    <w:rsid w:val="00C63D52"/>
    <w:rsid w:val="00C648B5"/>
    <w:rsid w:val="00C667BE"/>
    <w:rsid w:val="00C6766B"/>
    <w:rsid w:val="00C70983"/>
    <w:rsid w:val="00C72223"/>
    <w:rsid w:val="00C74EE7"/>
    <w:rsid w:val="00C76417"/>
    <w:rsid w:val="00C7726F"/>
    <w:rsid w:val="00C823DA"/>
    <w:rsid w:val="00C8259F"/>
    <w:rsid w:val="00C82746"/>
    <w:rsid w:val="00C829F7"/>
    <w:rsid w:val="00C8312F"/>
    <w:rsid w:val="00C84C47"/>
    <w:rsid w:val="00C85739"/>
    <w:rsid w:val="00C858A4"/>
    <w:rsid w:val="00C85ED5"/>
    <w:rsid w:val="00C86AFA"/>
    <w:rsid w:val="00CA49A2"/>
    <w:rsid w:val="00CB100A"/>
    <w:rsid w:val="00CB18D0"/>
    <w:rsid w:val="00CB1C8A"/>
    <w:rsid w:val="00CB24F5"/>
    <w:rsid w:val="00CB2663"/>
    <w:rsid w:val="00CB3BBE"/>
    <w:rsid w:val="00CB3D26"/>
    <w:rsid w:val="00CB59E9"/>
    <w:rsid w:val="00CB702F"/>
    <w:rsid w:val="00CC0D6A"/>
    <w:rsid w:val="00CC3831"/>
    <w:rsid w:val="00CC3E3D"/>
    <w:rsid w:val="00CC519B"/>
    <w:rsid w:val="00CD12C1"/>
    <w:rsid w:val="00CD20D0"/>
    <w:rsid w:val="00CD214E"/>
    <w:rsid w:val="00CD2594"/>
    <w:rsid w:val="00CD46FA"/>
    <w:rsid w:val="00CD5973"/>
    <w:rsid w:val="00CD6E29"/>
    <w:rsid w:val="00CD74B1"/>
    <w:rsid w:val="00CE1841"/>
    <w:rsid w:val="00CE31A6"/>
    <w:rsid w:val="00CE3361"/>
    <w:rsid w:val="00CE6386"/>
    <w:rsid w:val="00CE73A6"/>
    <w:rsid w:val="00CE7DE4"/>
    <w:rsid w:val="00CF09AA"/>
    <w:rsid w:val="00CF0DE3"/>
    <w:rsid w:val="00CF238E"/>
    <w:rsid w:val="00CF23FE"/>
    <w:rsid w:val="00CF4813"/>
    <w:rsid w:val="00CF49FF"/>
    <w:rsid w:val="00CF5233"/>
    <w:rsid w:val="00D029B8"/>
    <w:rsid w:val="00D02F60"/>
    <w:rsid w:val="00D0464E"/>
    <w:rsid w:val="00D04A96"/>
    <w:rsid w:val="00D07A7B"/>
    <w:rsid w:val="00D10E06"/>
    <w:rsid w:val="00D1227D"/>
    <w:rsid w:val="00D15197"/>
    <w:rsid w:val="00D16820"/>
    <w:rsid w:val="00D169C8"/>
    <w:rsid w:val="00D1793F"/>
    <w:rsid w:val="00D22AF5"/>
    <w:rsid w:val="00D235EA"/>
    <w:rsid w:val="00D247A9"/>
    <w:rsid w:val="00D326F3"/>
    <w:rsid w:val="00D32721"/>
    <w:rsid w:val="00D328DC"/>
    <w:rsid w:val="00D33387"/>
    <w:rsid w:val="00D33454"/>
    <w:rsid w:val="00D33F1A"/>
    <w:rsid w:val="00D402FB"/>
    <w:rsid w:val="00D414DB"/>
    <w:rsid w:val="00D47D7A"/>
    <w:rsid w:val="00D50ABD"/>
    <w:rsid w:val="00D50CF9"/>
    <w:rsid w:val="00D51DF0"/>
    <w:rsid w:val="00D53290"/>
    <w:rsid w:val="00D55290"/>
    <w:rsid w:val="00D55F65"/>
    <w:rsid w:val="00D57791"/>
    <w:rsid w:val="00D57899"/>
    <w:rsid w:val="00D6046A"/>
    <w:rsid w:val="00D62870"/>
    <w:rsid w:val="00D655D9"/>
    <w:rsid w:val="00D65872"/>
    <w:rsid w:val="00D67637"/>
    <w:rsid w:val="00D676F3"/>
    <w:rsid w:val="00D702A4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687"/>
    <w:rsid w:val="00D9505D"/>
    <w:rsid w:val="00D953D0"/>
    <w:rsid w:val="00D959F5"/>
    <w:rsid w:val="00D96884"/>
    <w:rsid w:val="00D96D88"/>
    <w:rsid w:val="00DA2133"/>
    <w:rsid w:val="00DA3FDD"/>
    <w:rsid w:val="00DA6780"/>
    <w:rsid w:val="00DA7017"/>
    <w:rsid w:val="00DA7028"/>
    <w:rsid w:val="00DB1AD2"/>
    <w:rsid w:val="00DB2B58"/>
    <w:rsid w:val="00DB4DC4"/>
    <w:rsid w:val="00DB5206"/>
    <w:rsid w:val="00DB58D6"/>
    <w:rsid w:val="00DB6276"/>
    <w:rsid w:val="00DB63F5"/>
    <w:rsid w:val="00DC1C6B"/>
    <w:rsid w:val="00DC1E7E"/>
    <w:rsid w:val="00DC2C2E"/>
    <w:rsid w:val="00DC39DD"/>
    <w:rsid w:val="00DC497C"/>
    <w:rsid w:val="00DC4AF0"/>
    <w:rsid w:val="00DC7886"/>
    <w:rsid w:val="00DD0CF2"/>
    <w:rsid w:val="00DD16D9"/>
    <w:rsid w:val="00DD2DA9"/>
    <w:rsid w:val="00DD5B21"/>
    <w:rsid w:val="00DE1554"/>
    <w:rsid w:val="00DE2901"/>
    <w:rsid w:val="00DE550D"/>
    <w:rsid w:val="00DE590F"/>
    <w:rsid w:val="00DE77B9"/>
    <w:rsid w:val="00DE7DC1"/>
    <w:rsid w:val="00DF1F12"/>
    <w:rsid w:val="00DF3F7E"/>
    <w:rsid w:val="00DF7051"/>
    <w:rsid w:val="00DF7648"/>
    <w:rsid w:val="00DF7F40"/>
    <w:rsid w:val="00E00E29"/>
    <w:rsid w:val="00E02BAB"/>
    <w:rsid w:val="00E04CEB"/>
    <w:rsid w:val="00E060BC"/>
    <w:rsid w:val="00E11420"/>
    <w:rsid w:val="00E12D83"/>
    <w:rsid w:val="00E132FB"/>
    <w:rsid w:val="00E13871"/>
    <w:rsid w:val="00E145DF"/>
    <w:rsid w:val="00E14961"/>
    <w:rsid w:val="00E15205"/>
    <w:rsid w:val="00E15822"/>
    <w:rsid w:val="00E170B7"/>
    <w:rsid w:val="00E177DD"/>
    <w:rsid w:val="00E20900"/>
    <w:rsid w:val="00E20C7F"/>
    <w:rsid w:val="00E2396E"/>
    <w:rsid w:val="00E24728"/>
    <w:rsid w:val="00E24AE8"/>
    <w:rsid w:val="00E276AC"/>
    <w:rsid w:val="00E33FF6"/>
    <w:rsid w:val="00E34A35"/>
    <w:rsid w:val="00E37C2F"/>
    <w:rsid w:val="00E408CC"/>
    <w:rsid w:val="00E41C28"/>
    <w:rsid w:val="00E46308"/>
    <w:rsid w:val="00E46514"/>
    <w:rsid w:val="00E51E17"/>
    <w:rsid w:val="00E52DAB"/>
    <w:rsid w:val="00E539B0"/>
    <w:rsid w:val="00E55994"/>
    <w:rsid w:val="00E60606"/>
    <w:rsid w:val="00E60C66"/>
    <w:rsid w:val="00E6164D"/>
    <w:rsid w:val="00E6172F"/>
    <w:rsid w:val="00E618C9"/>
    <w:rsid w:val="00E62774"/>
    <w:rsid w:val="00E62984"/>
    <w:rsid w:val="00E6307C"/>
    <w:rsid w:val="00E636FA"/>
    <w:rsid w:val="00E65048"/>
    <w:rsid w:val="00E66C50"/>
    <w:rsid w:val="00E679D3"/>
    <w:rsid w:val="00E71208"/>
    <w:rsid w:val="00E71382"/>
    <w:rsid w:val="00E71444"/>
    <w:rsid w:val="00E71C91"/>
    <w:rsid w:val="00E720A1"/>
    <w:rsid w:val="00E75DDA"/>
    <w:rsid w:val="00E773E8"/>
    <w:rsid w:val="00E83ADD"/>
    <w:rsid w:val="00E84B5A"/>
    <w:rsid w:val="00E84F38"/>
    <w:rsid w:val="00E85623"/>
    <w:rsid w:val="00E85723"/>
    <w:rsid w:val="00E87441"/>
    <w:rsid w:val="00E87FD3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4D7E"/>
    <w:rsid w:val="00EB7C86"/>
    <w:rsid w:val="00EC0DF7"/>
    <w:rsid w:val="00EC0F5A"/>
    <w:rsid w:val="00EC2E02"/>
    <w:rsid w:val="00EC4265"/>
    <w:rsid w:val="00EC4A88"/>
    <w:rsid w:val="00EC4CEB"/>
    <w:rsid w:val="00EC659E"/>
    <w:rsid w:val="00ED025D"/>
    <w:rsid w:val="00ED2072"/>
    <w:rsid w:val="00ED2AE0"/>
    <w:rsid w:val="00ED4088"/>
    <w:rsid w:val="00ED5553"/>
    <w:rsid w:val="00ED5E36"/>
    <w:rsid w:val="00ED6961"/>
    <w:rsid w:val="00EF0B96"/>
    <w:rsid w:val="00EF1005"/>
    <w:rsid w:val="00EF3486"/>
    <w:rsid w:val="00EF47AF"/>
    <w:rsid w:val="00EF53B6"/>
    <w:rsid w:val="00F00B73"/>
    <w:rsid w:val="00F031F6"/>
    <w:rsid w:val="00F065B5"/>
    <w:rsid w:val="00F115CA"/>
    <w:rsid w:val="00F11755"/>
    <w:rsid w:val="00F13A8D"/>
    <w:rsid w:val="00F13CB6"/>
    <w:rsid w:val="00F14817"/>
    <w:rsid w:val="00F14EBA"/>
    <w:rsid w:val="00F1510F"/>
    <w:rsid w:val="00F1533A"/>
    <w:rsid w:val="00F15B31"/>
    <w:rsid w:val="00F15E5A"/>
    <w:rsid w:val="00F17D54"/>
    <w:rsid w:val="00F17F0A"/>
    <w:rsid w:val="00F2668F"/>
    <w:rsid w:val="00F2742F"/>
    <w:rsid w:val="00F2753B"/>
    <w:rsid w:val="00F27735"/>
    <w:rsid w:val="00F30434"/>
    <w:rsid w:val="00F33F8B"/>
    <w:rsid w:val="00F340B2"/>
    <w:rsid w:val="00F3539F"/>
    <w:rsid w:val="00F40711"/>
    <w:rsid w:val="00F43390"/>
    <w:rsid w:val="00F443B2"/>
    <w:rsid w:val="00F458D8"/>
    <w:rsid w:val="00F50237"/>
    <w:rsid w:val="00F53596"/>
    <w:rsid w:val="00F544BA"/>
    <w:rsid w:val="00F55BA8"/>
    <w:rsid w:val="00F55DB1"/>
    <w:rsid w:val="00F56ACA"/>
    <w:rsid w:val="00F56BAE"/>
    <w:rsid w:val="00F600FE"/>
    <w:rsid w:val="00F62E4D"/>
    <w:rsid w:val="00F6580F"/>
    <w:rsid w:val="00F66B34"/>
    <w:rsid w:val="00F66D78"/>
    <w:rsid w:val="00F675B9"/>
    <w:rsid w:val="00F677BF"/>
    <w:rsid w:val="00F711C9"/>
    <w:rsid w:val="00F73A34"/>
    <w:rsid w:val="00F74C59"/>
    <w:rsid w:val="00F75C3A"/>
    <w:rsid w:val="00F75D96"/>
    <w:rsid w:val="00F76E2B"/>
    <w:rsid w:val="00F8186F"/>
    <w:rsid w:val="00F82E30"/>
    <w:rsid w:val="00F831CB"/>
    <w:rsid w:val="00F848A3"/>
    <w:rsid w:val="00F84ACF"/>
    <w:rsid w:val="00F85742"/>
    <w:rsid w:val="00F85BF8"/>
    <w:rsid w:val="00F871CE"/>
    <w:rsid w:val="00F871E9"/>
    <w:rsid w:val="00F87802"/>
    <w:rsid w:val="00F92C0A"/>
    <w:rsid w:val="00F9415B"/>
    <w:rsid w:val="00FA13C2"/>
    <w:rsid w:val="00FA3BB7"/>
    <w:rsid w:val="00FA55AC"/>
    <w:rsid w:val="00FA55FC"/>
    <w:rsid w:val="00FA7206"/>
    <w:rsid w:val="00FA7F91"/>
    <w:rsid w:val="00FB121C"/>
    <w:rsid w:val="00FB1CDD"/>
    <w:rsid w:val="00FB1FBF"/>
    <w:rsid w:val="00FB2A39"/>
    <w:rsid w:val="00FB2C2F"/>
    <w:rsid w:val="00FB2CB5"/>
    <w:rsid w:val="00FB305C"/>
    <w:rsid w:val="00FB37A8"/>
    <w:rsid w:val="00FB53A1"/>
    <w:rsid w:val="00FB7C89"/>
    <w:rsid w:val="00FC08B9"/>
    <w:rsid w:val="00FC2E3D"/>
    <w:rsid w:val="00FC3BDE"/>
    <w:rsid w:val="00FC7B1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08B"/>
    <w:rsid w:val="00FE730A"/>
    <w:rsid w:val="00FE7AB5"/>
    <w:rsid w:val="00FF1C2C"/>
    <w:rsid w:val="00FF1DD7"/>
    <w:rsid w:val="00FF2683"/>
    <w:rsid w:val="00FF4453"/>
    <w:rsid w:val="00FF58D7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D50CF9"/>
    <w:pPr>
      <w:spacing w:after="120" w:line="276" w:lineRule="auto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CE73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692E09"/>
    <w:pPr>
      <w:widowControl w:val="0"/>
      <w:spacing w:after="0"/>
      <w:ind w:left="720"/>
      <w:contextualSpacing/>
    </w:pPr>
    <w:rPr>
      <w:rFonts w:eastAsia="Calibri" w:cs="Times New Roman"/>
      <w:bCs/>
      <w:sz w:val="22"/>
      <w:lang w:val="en-US"/>
    </w:rPr>
  </w:style>
  <w:style w:type="paragraph" w:styleId="Poprawka">
    <w:name w:val="Revision"/>
    <w:hidden/>
    <w:uiPriority w:val="99"/>
    <w:semiHidden/>
    <w:rsid w:val="006B3B18"/>
    <w:pPr>
      <w:spacing w:line="240" w:lineRule="auto"/>
    </w:pPr>
    <w:rPr>
      <w:rFonts w:ascii="Times New Roman" w:eastAsiaTheme="minorHAnsi" w:hAnsi="Times New Roman" w:cstheme="minorBid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F49FF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E73A6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D50CF9"/>
    <w:pPr>
      <w:spacing w:after="120" w:line="276" w:lineRule="auto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CE73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692E09"/>
    <w:pPr>
      <w:widowControl w:val="0"/>
      <w:spacing w:after="0"/>
      <w:ind w:left="720"/>
      <w:contextualSpacing/>
    </w:pPr>
    <w:rPr>
      <w:rFonts w:eastAsia="Calibri" w:cs="Times New Roman"/>
      <w:bCs/>
      <w:sz w:val="22"/>
      <w:lang w:val="en-US"/>
    </w:rPr>
  </w:style>
  <w:style w:type="paragraph" w:styleId="Poprawka">
    <w:name w:val="Revision"/>
    <w:hidden/>
    <w:uiPriority w:val="99"/>
    <w:semiHidden/>
    <w:rsid w:val="006B3B18"/>
    <w:pPr>
      <w:spacing w:line="240" w:lineRule="auto"/>
    </w:pPr>
    <w:rPr>
      <w:rFonts w:ascii="Times New Roman" w:eastAsiaTheme="minorHAnsi" w:hAnsi="Times New Roman" w:cstheme="minorBid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F49FF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E73A6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ek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D1CC45-2583-4676-A936-F51CC427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21</Pages>
  <Words>5570</Words>
  <Characters>33424</Characters>
  <Application>Microsoft Office Word</Application>
  <DocSecurity>0</DocSecurity>
  <Lines>278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Woźniak Jakub</dc:creator>
  <cp:lastModifiedBy>Babiak Agnieszka</cp:lastModifiedBy>
  <cp:revision>2</cp:revision>
  <cp:lastPrinted>2019-01-11T14:46:00Z</cp:lastPrinted>
  <dcterms:created xsi:type="dcterms:W3CDTF">2019-02-20T14:52:00Z</dcterms:created>
  <dcterms:modified xsi:type="dcterms:W3CDTF">2019-02-20T14:52:00Z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