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84475F" w14:textId="77777777" w:rsidR="00156CF0" w:rsidRPr="00E313AD" w:rsidRDefault="00156CF0" w:rsidP="001361DB">
      <w:pPr>
        <w:widowControl/>
        <w:autoSpaceDE/>
        <w:autoSpaceDN/>
        <w:adjustRightInd/>
        <w:spacing w:before="120" w:after="120"/>
        <w:jc w:val="center"/>
        <w:rPr>
          <w:rFonts w:cs="Times New Roman"/>
          <w:b/>
          <w:szCs w:val="24"/>
        </w:rPr>
      </w:pPr>
      <w:r w:rsidRPr="00E313AD">
        <w:rPr>
          <w:rFonts w:cs="Times New Roman"/>
          <w:b/>
          <w:szCs w:val="24"/>
        </w:rPr>
        <w:t>UZASADNIENIE</w:t>
      </w:r>
    </w:p>
    <w:p w14:paraId="69B2E312" w14:textId="77777777" w:rsidR="00156CF0" w:rsidRPr="00E313AD" w:rsidRDefault="00156CF0" w:rsidP="001361DB">
      <w:pPr>
        <w:widowControl/>
        <w:autoSpaceDE/>
        <w:autoSpaceDN/>
        <w:adjustRightInd/>
        <w:spacing w:before="120" w:after="120"/>
        <w:jc w:val="center"/>
        <w:rPr>
          <w:rFonts w:cs="Times New Roman"/>
          <w:b/>
          <w:szCs w:val="24"/>
        </w:rPr>
      </w:pPr>
    </w:p>
    <w:p w14:paraId="0EBE2865" w14:textId="77777777" w:rsidR="00156CF0" w:rsidRPr="00E313AD" w:rsidRDefault="00156CF0" w:rsidP="001361DB">
      <w:pPr>
        <w:widowControl/>
        <w:numPr>
          <w:ilvl w:val="0"/>
          <w:numId w:val="1"/>
        </w:numPr>
        <w:autoSpaceDE/>
        <w:autoSpaceDN/>
        <w:adjustRightInd/>
        <w:spacing w:before="120" w:after="120"/>
        <w:ind w:left="0" w:firstLine="0"/>
        <w:jc w:val="both"/>
        <w:rPr>
          <w:rFonts w:eastAsia="Times New Roman" w:cs="Times New Roman"/>
          <w:b/>
          <w:szCs w:val="24"/>
        </w:rPr>
      </w:pPr>
      <w:r w:rsidRPr="00E313AD">
        <w:rPr>
          <w:rFonts w:eastAsia="Times New Roman" w:cs="Times New Roman"/>
          <w:b/>
          <w:szCs w:val="24"/>
        </w:rPr>
        <w:t>Potrzeba i cel wydania rozporządzenia</w:t>
      </w:r>
    </w:p>
    <w:p w14:paraId="44BCD8A9" w14:textId="4BFBDFD8" w:rsidR="00156CF0" w:rsidRPr="00E313AD" w:rsidRDefault="00700232" w:rsidP="007079CD">
      <w:pPr>
        <w:widowControl/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Projekt</w:t>
      </w:r>
      <w:r w:rsidR="005D3FA5">
        <w:rPr>
          <w:rFonts w:eastAsia="Times New Roman" w:cs="Times New Roman"/>
          <w:szCs w:val="24"/>
        </w:rPr>
        <w:t>owana</w:t>
      </w:r>
      <w:r>
        <w:rPr>
          <w:rFonts w:eastAsia="Times New Roman" w:cs="Times New Roman"/>
          <w:szCs w:val="24"/>
        </w:rPr>
        <w:t xml:space="preserve"> </w:t>
      </w:r>
      <w:r w:rsidR="005D3FA5">
        <w:rPr>
          <w:rFonts w:eastAsia="Times New Roman" w:cs="Times New Roman"/>
          <w:szCs w:val="24"/>
        </w:rPr>
        <w:t xml:space="preserve">zmiana </w:t>
      </w:r>
      <w:r>
        <w:rPr>
          <w:rFonts w:eastAsia="Times New Roman" w:cs="Times New Roman"/>
          <w:szCs w:val="24"/>
        </w:rPr>
        <w:t>r</w:t>
      </w:r>
      <w:r w:rsidR="00156CF0" w:rsidRPr="00E313AD">
        <w:rPr>
          <w:rFonts w:eastAsia="Times New Roman" w:cs="Times New Roman"/>
          <w:szCs w:val="24"/>
        </w:rPr>
        <w:t>ozporządzeni</w:t>
      </w:r>
      <w:r>
        <w:rPr>
          <w:rFonts w:eastAsia="Times New Roman" w:cs="Times New Roman"/>
          <w:szCs w:val="24"/>
        </w:rPr>
        <w:t>a</w:t>
      </w:r>
      <w:r w:rsidR="00156CF0" w:rsidRPr="00E313AD">
        <w:rPr>
          <w:rFonts w:eastAsia="Times New Roman" w:cs="Times New Roman"/>
          <w:szCs w:val="24"/>
        </w:rPr>
        <w:t xml:space="preserve"> </w:t>
      </w:r>
      <w:r w:rsidRPr="00700232">
        <w:rPr>
          <w:rFonts w:eastAsia="Times New Roman" w:cs="Times New Roman"/>
          <w:szCs w:val="24"/>
        </w:rPr>
        <w:t xml:space="preserve">Ministra Infrastruktury </w:t>
      </w:r>
      <w:r w:rsidR="005D3FA5" w:rsidRPr="00FA2D2F">
        <w:rPr>
          <w:rFonts w:eastAsia="Times New Roman" w:cs="Times New Roman"/>
          <w:szCs w:val="24"/>
        </w:rPr>
        <w:t xml:space="preserve">z dnia 5 marca 2019 r. </w:t>
      </w:r>
      <w:r w:rsidR="00156CF0" w:rsidRPr="00E313AD">
        <w:rPr>
          <w:rFonts w:eastAsia="Times New Roman" w:cs="Times New Roman"/>
          <w:szCs w:val="24"/>
        </w:rPr>
        <w:t xml:space="preserve">w sprawie zakazów lub ograniczeń lotów na czas dłuższy niż 3 miesiące </w:t>
      </w:r>
      <w:r w:rsidR="005D3FA5" w:rsidRPr="00FA2D2F">
        <w:rPr>
          <w:rFonts w:eastAsia="Times New Roman" w:cs="Times New Roman"/>
          <w:szCs w:val="24"/>
        </w:rPr>
        <w:t>(Dz.</w:t>
      </w:r>
      <w:r w:rsidR="00F32CFF">
        <w:rPr>
          <w:rFonts w:eastAsia="Times New Roman" w:cs="Times New Roman"/>
          <w:szCs w:val="24"/>
        </w:rPr>
        <w:t xml:space="preserve"> </w:t>
      </w:r>
      <w:r w:rsidR="005D3FA5" w:rsidRPr="00FA2D2F">
        <w:rPr>
          <w:rFonts w:eastAsia="Times New Roman" w:cs="Times New Roman"/>
          <w:szCs w:val="24"/>
        </w:rPr>
        <w:t>U. poz. 617)</w:t>
      </w:r>
      <w:r w:rsidR="005D3FA5">
        <w:rPr>
          <w:rFonts w:eastAsia="Times New Roman" w:cs="Times New Roman"/>
          <w:szCs w:val="24"/>
        </w:rPr>
        <w:t xml:space="preserve"> </w:t>
      </w:r>
      <w:r w:rsidR="00156CF0" w:rsidRPr="00E313AD">
        <w:rPr>
          <w:rFonts w:eastAsia="Times New Roman" w:cs="Times New Roman"/>
          <w:szCs w:val="24"/>
        </w:rPr>
        <w:t xml:space="preserve">ma na celu dostosowanie przepisów </w:t>
      </w:r>
      <w:r w:rsidR="001361DB">
        <w:rPr>
          <w:rFonts w:eastAsia="Times New Roman" w:cs="Times New Roman"/>
          <w:szCs w:val="24"/>
        </w:rPr>
        <w:t xml:space="preserve">tego rozporządzenia </w:t>
      </w:r>
      <w:r w:rsidR="00156CF0" w:rsidRPr="00E313AD">
        <w:rPr>
          <w:rFonts w:eastAsia="Times New Roman" w:cs="Times New Roman"/>
          <w:szCs w:val="24"/>
        </w:rPr>
        <w:t>do aktualnego stanu potrzeb i</w:t>
      </w:r>
      <w:r w:rsidR="00A87DFD">
        <w:rPr>
          <w:rFonts w:eastAsia="Times New Roman" w:cs="Times New Roman"/>
          <w:szCs w:val="24"/>
        </w:rPr>
        <w:t xml:space="preserve"> wymagań w </w:t>
      </w:r>
      <w:r w:rsidR="00156CF0" w:rsidRPr="00E313AD">
        <w:rPr>
          <w:rFonts w:eastAsia="Times New Roman" w:cs="Times New Roman"/>
          <w:szCs w:val="24"/>
        </w:rPr>
        <w:t>zakresie zapewniania ładu i bezpieczeństwa operacji lotniczych w przestrzeni powietrznej, w szczególności przez:</w:t>
      </w:r>
    </w:p>
    <w:p w14:paraId="1BD0B02D" w14:textId="0220BFD5" w:rsidR="00156CF0" w:rsidRPr="00E313AD" w:rsidRDefault="00156CF0" w:rsidP="00C0453B">
      <w:pPr>
        <w:widowControl/>
        <w:numPr>
          <w:ilvl w:val="0"/>
          <w:numId w:val="2"/>
        </w:numPr>
        <w:autoSpaceDE/>
        <w:autoSpaceDN/>
        <w:adjustRightInd/>
        <w:spacing w:before="120" w:after="120"/>
        <w:ind w:left="425" w:hanging="425"/>
        <w:contextualSpacing/>
        <w:jc w:val="both"/>
        <w:rPr>
          <w:rFonts w:cs="Times New Roman"/>
          <w:szCs w:val="24"/>
        </w:rPr>
      </w:pPr>
      <w:r w:rsidRPr="00E313AD">
        <w:rPr>
          <w:rFonts w:cs="Times New Roman"/>
          <w:szCs w:val="24"/>
        </w:rPr>
        <w:t>aktualizację wykazu stref zakazanych</w:t>
      </w:r>
      <w:r w:rsidR="00B61F9D">
        <w:rPr>
          <w:rFonts w:cs="Times New Roman"/>
          <w:szCs w:val="24"/>
        </w:rPr>
        <w:t xml:space="preserve"> (strefy P) i</w:t>
      </w:r>
      <w:r w:rsidR="00B0321D">
        <w:rPr>
          <w:rFonts w:cs="Times New Roman"/>
          <w:szCs w:val="24"/>
        </w:rPr>
        <w:t xml:space="preserve"> </w:t>
      </w:r>
      <w:r w:rsidRPr="00E313AD">
        <w:rPr>
          <w:rFonts w:cs="Times New Roman"/>
          <w:szCs w:val="24"/>
        </w:rPr>
        <w:t>ograniczonych</w:t>
      </w:r>
      <w:r w:rsidR="00B61F9D">
        <w:rPr>
          <w:rFonts w:cs="Times New Roman"/>
          <w:szCs w:val="24"/>
        </w:rPr>
        <w:t xml:space="preserve"> (strefy R)</w:t>
      </w:r>
      <w:r w:rsidRPr="00E313AD">
        <w:rPr>
          <w:rFonts w:cs="Times New Roman"/>
          <w:szCs w:val="24"/>
        </w:rPr>
        <w:t xml:space="preserve"> oraz ich granic</w:t>
      </w:r>
      <w:r w:rsidR="00EF3BA9">
        <w:rPr>
          <w:rFonts w:cs="Times New Roman"/>
          <w:szCs w:val="24"/>
        </w:rPr>
        <w:t>;</w:t>
      </w:r>
    </w:p>
    <w:p w14:paraId="0E8FF906" w14:textId="2F880410" w:rsidR="00156CF0" w:rsidRPr="00E313AD" w:rsidRDefault="00156CF0" w:rsidP="00E105C2">
      <w:pPr>
        <w:widowControl/>
        <w:numPr>
          <w:ilvl w:val="0"/>
          <w:numId w:val="2"/>
        </w:numPr>
        <w:autoSpaceDE/>
        <w:autoSpaceDN/>
        <w:adjustRightInd/>
        <w:spacing w:before="120"/>
        <w:ind w:left="425" w:hanging="425"/>
        <w:contextualSpacing/>
        <w:jc w:val="both"/>
        <w:rPr>
          <w:rFonts w:eastAsia="Times New Roman" w:cs="Times New Roman"/>
          <w:szCs w:val="24"/>
        </w:rPr>
      </w:pPr>
      <w:r w:rsidRPr="00E313AD">
        <w:rPr>
          <w:rFonts w:eastAsia="Times New Roman" w:cs="Times New Roman"/>
          <w:szCs w:val="24"/>
        </w:rPr>
        <w:t xml:space="preserve">poprawę nieścisłości terminologicznych </w:t>
      </w:r>
      <w:r w:rsidR="00667E9E">
        <w:rPr>
          <w:rFonts w:eastAsia="Times New Roman" w:cs="Times New Roman"/>
          <w:szCs w:val="24"/>
        </w:rPr>
        <w:t>dotyczących określenia granic poziomych</w:t>
      </w:r>
      <w:r w:rsidRPr="00E313AD">
        <w:rPr>
          <w:rFonts w:eastAsia="Times New Roman" w:cs="Times New Roman"/>
          <w:szCs w:val="24"/>
        </w:rPr>
        <w:t xml:space="preserve"> stref.</w:t>
      </w:r>
    </w:p>
    <w:p w14:paraId="32EC9E05" w14:textId="2A50044D" w:rsidR="007E7577" w:rsidRDefault="00156CF0" w:rsidP="00E105C2">
      <w:pPr>
        <w:widowControl/>
        <w:suppressAutoHyphens/>
        <w:adjustRightInd/>
        <w:spacing w:before="120" w:after="240"/>
        <w:jc w:val="both"/>
        <w:textAlignment w:val="baseline"/>
        <w:rPr>
          <w:rFonts w:eastAsia="Times New Roman" w:cs="Times New Roman"/>
          <w:szCs w:val="24"/>
        </w:rPr>
      </w:pPr>
      <w:r w:rsidRPr="00E313AD">
        <w:rPr>
          <w:rFonts w:eastAsia="Times New Roman" w:cs="Times New Roman"/>
          <w:szCs w:val="24"/>
        </w:rPr>
        <w:t>Przesłank</w:t>
      </w:r>
      <w:r w:rsidR="00EF3BA9">
        <w:rPr>
          <w:rFonts w:eastAsia="Times New Roman" w:cs="Times New Roman"/>
          <w:szCs w:val="24"/>
        </w:rPr>
        <w:t>ą</w:t>
      </w:r>
      <w:r w:rsidRPr="00E313AD">
        <w:rPr>
          <w:rFonts w:eastAsia="Times New Roman" w:cs="Times New Roman"/>
          <w:szCs w:val="24"/>
        </w:rPr>
        <w:t xml:space="preserve"> do opracowania </w:t>
      </w:r>
      <w:r w:rsidR="00700232">
        <w:rPr>
          <w:rFonts w:eastAsia="Times New Roman" w:cs="Times New Roman"/>
          <w:szCs w:val="24"/>
        </w:rPr>
        <w:t xml:space="preserve">projektu </w:t>
      </w:r>
      <w:r w:rsidRPr="00E313AD">
        <w:rPr>
          <w:rFonts w:eastAsia="Times New Roman" w:cs="Times New Roman"/>
          <w:szCs w:val="24"/>
        </w:rPr>
        <w:t>rozporządzenia Ministra Infrastruktury</w:t>
      </w:r>
      <w:r w:rsidR="00290F9F">
        <w:rPr>
          <w:rFonts w:eastAsia="Times New Roman" w:cs="Times New Roman"/>
          <w:szCs w:val="24"/>
        </w:rPr>
        <w:t xml:space="preserve"> zmieniającego rozporządzenie </w:t>
      </w:r>
      <w:r w:rsidR="00290F9F" w:rsidRPr="00E313AD">
        <w:rPr>
          <w:rFonts w:eastAsia="Times New Roman" w:cs="Times New Roman"/>
          <w:szCs w:val="24"/>
        </w:rPr>
        <w:t>w sprawie zakazów lub ograniczeń lotów na czas dłuższy niż 3 miesiące</w:t>
      </w:r>
      <w:r w:rsidR="00290F9F">
        <w:rPr>
          <w:rFonts w:eastAsia="Times New Roman" w:cs="Times New Roman"/>
          <w:szCs w:val="24"/>
        </w:rPr>
        <w:t xml:space="preserve">, </w:t>
      </w:r>
      <w:r w:rsidR="005A703E">
        <w:rPr>
          <w:rFonts w:eastAsia="Times New Roman" w:cs="Times New Roman"/>
          <w:szCs w:val="24"/>
        </w:rPr>
        <w:t xml:space="preserve">zwanego </w:t>
      </w:r>
      <w:r w:rsidR="00290F9F">
        <w:rPr>
          <w:rFonts w:eastAsia="Times New Roman" w:cs="Times New Roman"/>
          <w:szCs w:val="24"/>
        </w:rPr>
        <w:t xml:space="preserve">dalej </w:t>
      </w:r>
      <w:r w:rsidR="00290F9F" w:rsidRPr="00DB4DA5">
        <w:rPr>
          <w:rFonts w:eastAsia="Times New Roman" w:cs="Times New Roman"/>
          <w:szCs w:val="24"/>
        </w:rPr>
        <w:t>„projekt</w:t>
      </w:r>
      <w:r w:rsidR="005A703E" w:rsidRPr="00DB4DA5">
        <w:rPr>
          <w:rFonts w:eastAsia="Times New Roman" w:cs="Times New Roman"/>
          <w:szCs w:val="24"/>
        </w:rPr>
        <w:t>em</w:t>
      </w:r>
      <w:r w:rsidR="00290F9F" w:rsidRPr="00DB4DA5">
        <w:rPr>
          <w:rFonts w:eastAsia="Times New Roman" w:cs="Times New Roman"/>
          <w:szCs w:val="24"/>
        </w:rPr>
        <w:t xml:space="preserve"> rozporządzenia”, </w:t>
      </w:r>
      <w:r w:rsidRPr="00DB4DA5">
        <w:rPr>
          <w:rFonts w:eastAsia="Times New Roman" w:cs="Times New Roman"/>
          <w:szCs w:val="24"/>
        </w:rPr>
        <w:t>jest potrzeba</w:t>
      </w:r>
      <w:r w:rsidRPr="00E313AD">
        <w:rPr>
          <w:rFonts w:eastAsia="Times New Roman" w:cs="Times New Roman"/>
          <w:szCs w:val="24"/>
        </w:rPr>
        <w:t xml:space="preserve"> aktualizacji wykazu stref, w których obowiązują zakazy i ograniczenia, głównie ze względu na dynamicznie zachodzące zmiany topograficzne, brak występowania lub zmianę przesłanek dla ustanowienia danej strefy lub potrzebę relokacji granic istniejących stref (górnej, dolnej </w:t>
      </w:r>
      <w:r w:rsidR="001361DB">
        <w:rPr>
          <w:rFonts w:eastAsia="Times New Roman" w:cs="Times New Roman"/>
          <w:szCs w:val="24"/>
        </w:rPr>
        <w:t>lub</w:t>
      </w:r>
      <w:r w:rsidRPr="00E313AD">
        <w:rPr>
          <w:rFonts w:eastAsia="Times New Roman" w:cs="Times New Roman"/>
          <w:szCs w:val="24"/>
        </w:rPr>
        <w:t xml:space="preserve"> bocznych).</w:t>
      </w:r>
    </w:p>
    <w:p w14:paraId="437581A8" w14:textId="77777777" w:rsidR="00156CF0" w:rsidRPr="00E313AD" w:rsidRDefault="00156CF0" w:rsidP="00E105C2">
      <w:pPr>
        <w:widowControl/>
        <w:numPr>
          <w:ilvl w:val="0"/>
          <w:numId w:val="1"/>
        </w:numPr>
        <w:autoSpaceDE/>
        <w:autoSpaceDN/>
        <w:adjustRightInd/>
        <w:spacing w:before="120" w:after="240"/>
        <w:ind w:left="0" w:firstLine="0"/>
        <w:contextualSpacing/>
        <w:rPr>
          <w:rFonts w:eastAsia="Times New Roman" w:cs="Times New Roman"/>
          <w:b/>
          <w:bCs/>
          <w:szCs w:val="24"/>
        </w:rPr>
      </w:pPr>
      <w:r w:rsidRPr="00E313AD">
        <w:rPr>
          <w:rFonts w:eastAsia="Times New Roman" w:cs="Times New Roman"/>
          <w:b/>
          <w:bCs/>
          <w:szCs w:val="24"/>
        </w:rPr>
        <w:t>Zakres regulacji</w:t>
      </w:r>
    </w:p>
    <w:p w14:paraId="6987C2DC" w14:textId="459D52EE" w:rsidR="00156CF0" w:rsidRPr="00E313AD" w:rsidRDefault="005A703E" w:rsidP="00C0453B">
      <w:pPr>
        <w:widowControl/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 w:rsidRPr="00E313AD">
        <w:rPr>
          <w:rFonts w:eastAsia="Times New Roman" w:cs="Times New Roman"/>
          <w:szCs w:val="24"/>
        </w:rPr>
        <w:t xml:space="preserve">W § 1 </w:t>
      </w:r>
      <w:r>
        <w:rPr>
          <w:rFonts w:eastAsia="Times New Roman" w:cs="Times New Roman"/>
          <w:szCs w:val="24"/>
        </w:rPr>
        <w:t xml:space="preserve">projektu </w:t>
      </w:r>
      <w:r w:rsidR="001D2C41">
        <w:rPr>
          <w:rFonts w:eastAsia="Times New Roman" w:cs="Times New Roman"/>
          <w:szCs w:val="24"/>
        </w:rPr>
        <w:t xml:space="preserve">nadano nowe brzmienie załącznikom nr 1 i 3 do rozporządzenia. </w:t>
      </w:r>
      <w:r w:rsidR="0097344A">
        <w:rPr>
          <w:rFonts w:eastAsia="Times New Roman" w:cs="Times New Roman"/>
          <w:szCs w:val="24"/>
        </w:rPr>
        <w:t xml:space="preserve">W </w:t>
      </w:r>
      <w:r w:rsidR="001361DB">
        <w:rPr>
          <w:rFonts w:eastAsia="Times New Roman" w:cs="Times New Roman"/>
          <w:szCs w:val="24"/>
        </w:rPr>
        <w:t xml:space="preserve">załącznikach nr 1 i 2 do projektu rozporządzenia określa się nowe brzmienie </w:t>
      </w:r>
      <w:r w:rsidR="0097344A">
        <w:rPr>
          <w:rFonts w:eastAsia="Times New Roman" w:cs="Times New Roman"/>
          <w:szCs w:val="24"/>
        </w:rPr>
        <w:t>załącznik</w:t>
      </w:r>
      <w:r w:rsidR="001361DB">
        <w:rPr>
          <w:rFonts w:eastAsia="Times New Roman" w:cs="Times New Roman"/>
          <w:szCs w:val="24"/>
        </w:rPr>
        <w:t>ów</w:t>
      </w:r>
      <w:r w:rsidR="0097344A">
        <w:rPr>
          <w:rFonts w:eastAsia="Times New Roman" w:cs="Times New Roman"/>
          <w:szCs w:val="24"/>
        </w:rPr>
        <w:t xml:space="preserve"> </w:t>
      </w:r>
      <w:r w:rsidR="002E44EB">
        <w:rPr>
          <w:rFonts w:eastAsia="Times New Roman" w:cs="Times New Roman"/>
          <w:szCs w:val="24"/>
        </w:rPr>
        <w:t xml:space="preserve">nr </w:t>
      </w:r>
      <w:r w:rsidR="0097344A">
        <w:rPr>
          <w:rFonts w:eastAsia="Times New Roman" w:cs="Times New Roman"/>
          <w:szCs w:val="24"/>
        </w:rPr>
        <w:t>1</w:t>
      </w:r>
      <w:r w:rsidR="00667E9E">
        <w:rPr>
          <w:rFonts w:eastAsia="Times New Roman" w:cs="Times New Roman"/>
          <w:szCs w:val="24"/>
        </w:rPr>
        <w:t xml:space="preserve"> i </w:t>
      </w:r>
      <w:r w:rsidR="0097344A">
        <w:rPr>
          <w:rFonts w:eastAsia="Times New Roman" w:cs="Times New Roman"/>
          <w:szCs w:val="24"/>
        </w:rPr>
        <w:t xml:space="preserve">3 do </w:t>
      </w:r>
      <w:r w:rsidR="002E44EB">
        <w:rPr>
          <w:rFonts w:eastAsia="Times New Roman" w:cs="Times New Roman"/>
          <w:szCs w:val="24"/>
        </w:rPr>
        <w:t xml:space="preserve">obowiązującego </w:t>
      </w:r>
      <w:r w:rsidR="0097344A">
        <w:rPr>
          <w:rFonts w:eastAsia="Times New Roman" w:cs="Times New Roman"/>
          <w:szCs w:val="24"/>
        </w:rPr>
        <w:t>rozporządzenia</w:t>
      </w:r>
      <w:r w:rsidR="00EF3BD4">
        <w:rPr>
          <w:rFonts w:eastAsia="Times New Roman" w:cs="Times New Roman"/>
          <w:szCs w:val="24"/>
        </w:rPr>
        <w:t>, w których</w:t>
      </w:r>
      <w:r w:rsidR="002E44EB">
        <w:rPr>
          <w:rFonts w:eastAsia="Times New Roman" w:cs="Times New Roman"/>
          <w:szCs w:val="24"/>
        </w:rPr>
        <w:t xml:space="preserve"> </w:t>
      </w:r>
      <w:r w:rsidR="0097344A">
        <w:rPr>
          <w:rFonts w:eastAsia="Times New Roman" w:cs="Times New Roman"/>
          <w:szCs w:val="24"/>
        </w:rPr>
        <w:t xml:space="preserve">zaktualizowano obszary stref P </w:t>
      </w:r>
      <w:r w:rsidR="002E44EB">
        <w:rPr>
          <w:rFonts w:eastAsia="Times New Roman" w:cs="Times New Roman"/>
          <w:szCs w:val="24"/>
        </w:rPr>
        <w:t>i</w:t>
      </w:r>
      <w:r w:rsidR="0097344A">
        <w:rPr>
          <w:rFonts w:eastAsia="Times New Roman" w:cs="Times New Roman"/>
          <w:szCs w:val="24"/>
        </w:rPr>
        <w:t xml:space="preserve"> R, bazując na danych otrzymanych od ich użytkowników. W</w:t>
      </w:r>
      <w:r w:rsidR="00156CF0" w:rsidRPr="00E313AD">
        <w:rPr>
          <w:rFonts w:eastAsia="Times New Roman" w:cs="Times New Roman"/>
          <w:szCs w:val="24"/>
        </w:rPr>
        <w:t>prowadz</w:t>
      </w:r>
      <w:r w:rsidR="0097344A">
        <w:rPr>
          <w:rFonts w:eastAsia="Times New Roman" w:cs="Times New Roman"/>
          <w:szCs w:val="24"/>
        </w:rPr>
        <w:t>ane zmiany</w:t>
      </w:r>
      <w:r w:rsidR="00156CF0" w:rsidRPr="00E313AD">
        <w:rPr>
          <w:rFonts w:eastAsia="Times New Roman" w:cs="Times New Roman"/>
          <w:szCs w:val="24"/>
        </w:rPr>
        <w:t xml:space="preserve"> </w:t>
      </w:r>
      <w:r w:rsidR="0097344A">
        <w:rPr>
          <w:rFonts w:eastAsia="Times New Roman" w:cs="Times New Roman"/>
          <w:szCs w:val="24"/>
        </w:rPr>
        <w:t>przyczynią się do</w:t>
      </w:r>
      <w:r w:rsidR="0097344A" w:rsidRPr="00E313AD">
        <w:rPr>
          <w:rFonts w:eastAsia="Times New Roman" w:cs="Times New Roman"/>
          <w:szCs w:val="24"/>
        </w:rPr>
        <w:t xml:space="preserve"> </w:t>
      </w:r>
      <w:r w:rsidR="00156CF0" w:rsidRPr="00E313AD">
        <w:rPr>
          <w:rFonts w:eastAsia="Times New Roman" w:cs="Times New Roman"/>
          <w:szCs w:val="24"/>
        </w:rPr>
        <w:t>popraw</w:t>
      </w:r>
      <w:r w:rsidR="0097344A">
        <w:rPr>
          <w:rFonts w:eastAsia="Times New Roman" w:cs="Times New Roman"/>
          <w:szCs w:val="24"/>
        </w:rPr>
        <w:t>y</w:t>
      </w:r>
      <w:r w:rsidR="00156CF0" w:rsidRPr="00E313AD">
        <w:rPr>
          <w:rFonts w:eastAsia="Times New Roman" w:cs="Times New Roman"/>
          <w:szCs w:val="24"/>
        </w:rPr>
        <w:t xml:space="preserve"> bezpieczeństwa </w:t>
      </w:r>
      <w:r w:rsidR="00437731">
        <w:rPr>
          <w:rFonts w:eastAsia="Times New Roman" w:cs="Times New Roman"/>
          <w:szCs w:val="24"/>
        </w:rPr>
        <w:t xml:space="preserve">lotów </w:t>
      </w:r>
      <w:r w:rsidR="0097344A">
        <w:rPr>
          <w:rFonts w:eastAsia="Times New Roman" w:cs="Times New Roman"/>
          <w:szCs w:val="24"/>
        </w:rPr>
        <w:t>nad</w:t>
      </w:r>
      <w:r w:rsidR="00156CF0" w:rsidRPr="00E313AD">
        <w:rPr>
          <w:rFonts w:eastAsia="Times New Roman" w:cs="Times New Roman"/>
          <w:szCs w:val="24"/>
        </w:rPr>
        <w:t xml:space="preserve"> </w:t>
      </w:r>
      <w:r w:rsidR="0097344A">
        <w:rPr>
          <w:rFonts w:eastAsia="Times New Roman" w:cs="Times New Roman"/>
          <w:szCs w:val="24"/>
        </w:rPr>
        <w:t xml:space="preserve">wyznaczonymi strefami oraz w obszarach chronionych, </w:t>
      </w:r>
      <w:r w:rsidR="00437731">
        <w:rPr>
          <w:rFonts w:eastAsia="Times New Roman" w:cs="Times New Roman"/>
          <w:szCs w:val="24"/>
        </w:rPr>
        <w:t xml:space="preserve">tam </w:t>
      </w:r>
      <w:r w:rsidR="0097344A">
        <w:rPr>
          <w:rFonts w:eastAsia="Times New Roman" w:cs="Times New Roman"/>
          <w:szCs w:val="24"/>
        </w:rPr>
        <w:t>gdzie zostały one utworzone</w:t>
      </w:r>
      <w:r w:rsidR="00854E97">
        <w:rPr>
          <w:rFonts w:eastAsia="Times New Roman" w:cs="Times New Roman"/>
          <w:szCs w:val="24"/>
        </w:rPr>
        <w:t>.</w:t>
      </w:r>
    </w:p>
    <w:p w14:paraId="621C99A2" w14:textId="2397BFB6" w:rsidR="00156CF0" w:rsidRPr="00E313AD" w:rsidRDefault="00156CF0" w:rsidP="00C0453B">
      <w:pPr>
        <w:widowControl/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 w:rsidRPr="00E313AD">
        <w:rPr>
          <w:rFonts w:eastAsia="Times New Roman" w:cs="Times New Roman"/>
          <w:szCs w:val="24"/>
        </w:rPr>
        <w:t xml:space="preserve">Załącznik nr 1 zawiera wykaz stref, w których </w:t>
      </w:r>
      <w:r w:rsidRPr="00E313AD">
        <w:rPr>
          <w:rFonts w:eastAsia="Times New Roman" w:cs="Times New Roman"/>
          <w:bCs/>
          <w:szCs w:val="24"/>
        </w:rPr>
        <w:t xml:space="preserve">zakazane jest wykonywanie lotów w strefach P, </w:t>
      </w:r>
      <w:r w:rsidR="00F03B3F">
        <w:rPr>
          <w:rFonts w:eastAsia="Times New Roman" w:cs="Times New Roman"/>
          <w:bCs/>
          <w:szCs w:val="24"/>
        </w:rPr>
        <w:t xml:space="preserve">a </w:t>
      </w:r>
      <w:r w:rsidRPr="00E313AD">
        <w:rPr>
          <w:rFonts w:eastAsia="Times New Roman" w:cs="Times New Roman"/>
          <w:bCs/>
          <w:szCs w:val="24"/>
        </w:rPr>
        <w:t>załącznik nr 3</w:t>
      </w:r>
      <w:r w:rsidRPr="00E313AD">
        <w:rPr>
          <w:rFonts w:eastAsia="Times New Roman" w:cs="Times New Roman"/>
          <w:szCs w:val="24"/>
        </w:rPr>
        <w:t xml:space="preserve"> </w:t>
      </w:r>
      <w:r w:rsidRPr="00E313AD">
        <w:rPr>
          <w:rFonts w:eastAsia="Times New Roman" w:cs="Times New Roman"/>
          <w:bCs/>
          <w:szCs w:val="24"/>
        </w:rPr>
        <w:t xml:space="preserve">zawiera </w:t>
      </w:r>
      <w:r w:rsidRPr="00E313AD">
        <w:rPr>
          <w:rFonts w:eastAsia="Times New Roman" w:cs="Times New Roman"/>
          <w:szCs w:val="24"/>
        </w:rPr>
        <w:t xml:space="preserve">wykaz stref, w których </w:t>
      </w:r>
      <w:r w:rsidRPr="00E313AD">
        <w:rPr>
          <w:rFonts w:eastAsia="Times New Roman" w:cs="Times New Roman"/>
          <w:bCs/>
          <w:szCs w:val="24"/>
        </w:rPr>
        <w:t xml:space="preserve">zakazane jest wykonywanie lotów w strefach R. Ujęte w tabele wykazy stref zawierają ich </w:t>
      </w:r>
      <w:r w:rsidRPr="00E313AD">
        <w:rPr>
          <w:rFonts w:eastAsia="Times New Roman" w:cs="Times New Roman"/>
          <w:szCs w:val="24"/>
        </w:rPr>
        <w:t>nazwy, określenie granic bocznych, górnych i</w:t>
      </w:r>
      <w:r w:rsidR="00736E4C">
        <w:rPr>
          <w:rFonts w:eastAsia="Times New Roman" w:cs="Times New Roman"/>
          <w:szCs w:val="24"/>
        </w:rPr>
        <w:t> </w:t>
      </w:r>
      <w:r w:rsidRPr="00E313AD">
        <w:rPr>
          <w:rFonts w:eastAsia="Times New Roman" w:cs="Times New Roman"/>
          <w:szCs w:val="24"/>
        </w:rPr>
        <w:t xml:space="preserve">dolnych oraz specyfikację występujących w nich ograniczeń. </w:t>
      </w:r>
      <w:bookmarkStart w:id="0" w:name="_Hlk117078461"/>
      <w:r w:rsidRPr="00E313AD">
        <w:rPr>
          <w:rFonts w:eastAsia="Times New Roman" w:cs="Times New Roman"/>
          <w:szCs w:val="24"/>
        </w:rPr>
        <w:t xml:space="preserve">Zgodnie z utrwaloną na gruncie obecnie obowiązującego prawa praktyką, w załącznikach przy określaniu granic stref posłużono się wartościami wyrażonymi w metrach (m), </w:t>
      </w:r>
      <w:r w:rsidR="00635833">
        <w:rPr>
          <w:rFonts w:eastAsia="Times New Roman" w:cs="Times New Roman"/>
          <w:szCs w:val="24"/>
        </w:rPr>
        <w:t xml:space="preserve">kilometrach (km), </w:t>
      </w:r>
      <w:r w:rsidRPr="00E313AD">
        <w:rPr>
          <w:rFonts w:eastAsia="Times New Roman" w:cs="Times New Roman"/>
          <w:szCs w:val="24"/>
        </w:rPr>
        <w:t>stopach (</w:t>
      </w:r>
      <w:proofErr w:type="spellStart"/>
      <w:r w:rsidRPr="00E313AD">
        <w:rPr>
          <w:rFonts w:eastAsia="Times New Roman" w:cs="Times New Roman"/>
          <w:szCs w:val="24"/>
        </w:rPr>
        <w:t>ft</w:t>
      </w:r>
      <w:proofErr w:type="spellEnd"/>
      <w:r w:rsidRPr="00E313AD">
        <w:rPr>
          <w:rFonts w:eastAsia="Times New Roman" w:cs="Times New Roman"/>
          <w:szCs w:val="24"/>
        </w:rPr>
        <w:t>)</w:t>
      </w:r>
      <w:r w:rsidR="00B67318">
        <w:rPr>
          <w:rFonts w:eastAsia="Times New Roman" w:cs="Times New Roman"/>
          <w:szCs w:val="24"/>
        </w:rPr>
        <w:t xml:space="preserve"> oraz</w:t>
      </w:r>
      <w:r w:rsidRPr="00E313AD">
        <w:rPr>
          <w:rFonts w:eastAsia="Times New Roman" w:cs="Times New Roman"/>
          <w:szCs w:val="24"/>
        </w:rPr>
        <w:t xml:space="preserve"> poziomach lotu (FL), starając się pogodzić potrzeby użytkowników, zarówno wojskowych, jak i cywilnych.</w:t>
      </w:r>
      <w:bookmarkEnd w:id="0"/>
      <w:r w:rsidRPr="00E313AD">
        <w:rPr>
          <w:rFonts w:eastAsia="Times New Roman" w:cs="Times New Roman"/>
          <w:szCs w:val="24"/>
        </w:rPr>
        <w:t xml:space="preserve"> Ponadto zgodnie z wnioskiem Polskiej Agencji Żeglugi Powietrznej jako </w:t>
      </w:r>
      <w:r w:rsidRPr="00E313AD">
        <w:rPr>
          <w:rFonts w:eastAsia="Times New Roman" w:cs="Times New Roman"/>
          <w:szCs w:val="24"/>
        </w:rPr>
        <w:lastRenderedPageBreak/>
        <w:t>zarządzającego przestrzenią powietrzną na poziomie strategicznym i podmiotu odpowiedzialnego za publika</w:t>
      </w:r>
      <w:r w:rsidR="00A72DD2">
        <w:rPr>
          <w:rFonts w:eastAsia="Times New Roman" w:cs="Times New Roman"/>
          <w:szCs w:val="24"/>
        </w:rPr>
        <w:t>cję</w:t>
      </w:r>
      <w:r w:rsidRPr="00E313AD">
        <w:rPr>
          <w:rFonts w:eastAsia="Times New Roman" w:cs="Times New Roman"/>
          <w:szCs w:val="24"/>
        </w:rPr>
        <w:t xml:space="preserve"> </w:t>
      </w:r>
      <w:r w:rsidR="00A72DD2">
        <w:rPr>
          <w:rFonts w:eastAsia="Times New Roman" w:cs="Times New Roman"/>
          <w:szCs w:val="24"/>
        </w:rPr>
        <w:t>Zbioru</w:t>
      </w:r>
      <w:r w:rsidR="00A72DD2" w:rsidRPr="00A72DD2">
        <w:rPr>
          <w:rFonts w:eastAsia="Times New Roman" w:cs="Times New Roman"/>
          <w:szCs w:val="24"/>
        </w:rPr>
        <w:t xml:space="preserve"> Informacji Lotniczych, wchodzący w skład Zintegrowanego Pakietu Informacji Lotniczych</w:t>
      </w:r>
      <w:r w:rsidR="00A72DD2">
        <w:rPr>
          <w:rFonts w:eastAsia="Times New Roman" w:cs="Times New Roman"/>
          <w:szCs w:val="24"/>
        </w:rPr>
        <w:t xml:space="preserve"> (</w:t>
      </w:r>
      <w:r w:rsidRPr="00E313AD">
        <w:rPr>
          <w:rFonts w:eastAsia="Times New Roman" w:cs="Times New Roman"/>
          <w:szCs w:val="24"/>
        </w:rPr>
        <w:t>AIP Polska</w:t>
      </w:r>
      <w:r w:rsidR="00A72DD2">
        <w:rPr>
          <w:rFonts w:eastAsia="Times New Roman" w:cs="Times New Roman"/>
          <w:szCs w:val="24"/>
        </w:rPr>
        <w:t>)</w:t>
      </w:r>
      <w:r w:rsidRPr="00E313AD">
        <w:rPr>
          <w:rFonts w:eastAsia="Times New Roman" w:cs="Times New Roman"/>
          <w:szCs w:val="24"/>
        </w:rPr>
        <w:t xml:space="preserve">, a także zgodnie z wymogami </w:t>
      </w:r>
      <w:r w:rsidR="00A72DD2">
        <w:rPr>
          <w:rFonts w:eastAsia="Times New Roman" w:cs="Times New Roman"/>
          <w:szCs w:val="24"/>
        </w:rPr>
        <w:t>Z</w:t>
      </w:r>
      <w:r w:rsidRPr="00E313AD">
        <w:rPr>
          <w:rFonts w:eastAsia="Times New Roman" w:cs="Times New Roman"/>
          <w:szCs w:val="24"/>
        </w:rPr>
        <w:t>ałącznika 15</w:t>
      </w:r>
      <w:r w:rsidR="00A72DD2">
        <w:rPr>
          <w:rFonts w:eastAsia="Times New Roman" w:cs="Times New Roman"/>
          <w:szCs w:val="24"/>
        </w:rPr>
        <w:t xml:space="preserve"> do </w:t>
      </w:r>
      <w:r w:rsidR="00A72DD2" w:rsidRPr="00A72DD2">
        <w:rPr>
          <w:rFonts w:eastAsia="Times New Roman" w:cs="Times New Roman"/>
          <w:szCs w:val="24"/>
        </w:rPr>
        <w:t>Konwencji o międzynarodowym lotn</w:t>
      </w:r>
      <w:r w:rsidR="00DB4DA5">
        <w:rPr>
          <w:rFonts w:eastAsia="Times New Roman" w:cs="Times New Roman"/>
          <w:szCs w:val="24"/>
        </w:rPr>
        <w:t>ictwie cywilnym, sporządzonej w </w:t>
      </w:r>
      <w:r w:rsidR="00A72DD2" w:rsidRPr="00A72DD2">
        <w:rPr>
          <w:rFonts w:eastAsia="Times New Roman" w:cs="Times New Roman"/>
          <w:szCs w:val="24"/>
        </w:rPr>
        <w:t>Chicago dnia 7 grudnia 1944 r. (Dz.</w:t>
      </w:r>
      <w:r w:rsidR="005A703E">
        <w:rPr>
          <w:rFonts w:eastAsia="Times New Roman" w:cs="Times New Roman"/>
          <w:szCs w:val="24"/>
        </w:rPr>
        <w:t xml:space="preserve"> </w:t>
      </w:r>
      <w:r w:rsidR="00A72DD2" w:rsidRPr="00A72DD2">
        <w:rPr>
          <w:rFonts w:eastAsia="Times New Roman" w:cs="Times New Roman"/>
          <w:szCs w:val="24"/>
        </w:rPr>
        <w:t xml:space="preserve">U. z 1959 r. poz. 212, z </w:t>
      </w:r>
      <w:proofErr w:type="spellStart"/>
      <w:r w:rsidR="00A72DD2" w:rsidRPr="00A72DD2">
        <w:rPr>
          <w:rFonts w:eastAsia="Times New Roman" w:cs="Times New Roman"/>
          <w:szCs w:val="24"/>
        </w:rPr>
        <w:t>późn</w:t>
      </w:r>
      <w:proofErr w:type="spellEnd"/>
      <w:r w:rsidR="00A72DD2" w:rsidRPr="00A72DD2">
        <w:rPr>
          <w:rFonts w:eastAsia="Times New Roman" w:cs="Times New Roman"/>
          <w:szCs w:val="24"/>
        </w:rPr>
        <w:t xml:space="preserve">. </w:t>
      </w:r>
      <w:proofErr w:type="spellStart"/>
      <w:r w:rsidR="00A72DD2" w:rsidRPr="00A72DD2">
        <w:rPr>
          <w:rFonts w:eastAsia="Times New Roman" w:cs="Times New Roman"/>
          <w:szCs w:val="24"/>
        </w:rPr>
        <w:t>zm</w:t>
      </w:r>
      <w:proofErr w:type="spellEnd"/>
      <w:r w:rsidR="00A72DD2">
        <w:rPr>
          <w:rFonts w:eastAsia="Times New Roman" w:cs="Times New Roman"/>
          <w:szCs w:val="24"/>
        </w:rPr>
        <w:t>)</w:t>
      </w:r>
      <w:r w:rsidRPr="00E313AD">
        <w:rPr>
          <w:rFonts w:eastAsia="Times New Roman" w:cs="Times New Roman"/>
          <w:szCs w:val="24"/>
        </w:rPr>
        <w:t>, wartości współrzędnych geograficznych granic bocznych stref określone zostały w zaokrągleniu do pełnych sekund</w:t>
      </w:r>
      <w:r w:rsidR="00C368AE">
        <w:rPr>
          <w:rFonts w:eastAsia="Times New Roman" w:cs="Times New Roman"/>
          <w:szCs w:val="24"/>
        </w:rPr>
        <w:t>.</w:t>
      </w:r>
    </w:p>
    <w:p w14:paraId="4BAB58BE" w14:textId="7ADA51C8" w:rsidR="007C5C01" w:rsidRDefault="00F03B3F" w:rsidP="00C0453B">
      <w:pPr>
        <w:widowControl/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 załączniku </w:t>
      </w:r>
      <w:r w:rsidR="00A72DD2">
        <w:rPr>
          <w:rFonts w:eastAsia="Times New Roman" w:cs="Times New Roman"/>
          <w:szCs w:val="24"/>
        </w:rPr>
        <w:t xml:space="preserve">nr </w:t>
      </w:r>
      <w:r>
        <w:rPr>
          <w:rFonts w:eastAsia="Times New Roman" w:cs="Times New Roman"/>
          <w:szCs w:val="24"/>
        </w:rPr>
        <w:t>1 zmienianego rozporządzenia, z</w:t>
      </w:r>
      <w:r w:rsidR="00156CF0" w:rsidRPr="00E313AD">
        <w:rPr>
          <w:rFonts w:eastAsia="Times New Roman" w:cs="Times New Roman"/>
          <w:szCs w:val="24"/>
        </w:rPr>
        <w:t>e względu na uzasadnione potrzeby instytucji państwowych, podmiotów sektora paliwowego lub instytucji kultury</w:t>
      </w:r>
      <w:r>
        <w:rPr>
          <w:rFonts w:eastAsia="Times New Roman" w:cs="Times New Roman"/>
          <w:szCs w:val="24"/>
        </w:rPr>
        <w:t>,</w:t>
      </w:r>
      <w:r w:rsidR="006646E9">
        <w:rPr>
          <w:rFonts w:eastAsia="Times New Roman" w:cs="Times New Roman"/>
          <w:szCs w:val="24"/>
        </w:rPr>
        <w:t xml:space="preserve"> wprowadzono now</w:t>
      </w:r>
      <w:r w:rsidR="00B67318">
        <w:rPr>
          <w:rFonts w:eastAsia="Times New Roman" w:cs="Times New Roman"/>
          <w:szCs w:val="24"/>
        </w:rPr>
        <w:t>e</w:t>
      </w:r>
      <w:r w:rsidR="006646E9">
        <w:rPr>
          <w:rFonts w:eastAsia="Times New Roman" w:cs="Times New Roman"/>
          <w:szCs w:val="24"/>
        </w:rPr>
        <w:t xml:space="preserve"> </w:t>
      </w:r>
      <w:r w:rsidR="00382336">
        <w:rPr>
          <w:rFonts w:eastAsia="Times New Roman" w:cs="Times New Roman"/>
          <w:szCs w:val="24"/>
        </w:rPr>
        <w:t>nazw</w:t>
      </w:r>
      <w:r w:rsidR="0075642E">
        <w:rPr>
          <w:rFonts w:eastAsia="Times New Roman" w:cs="Times New Roman"/>
          <w:szCs w:val="24"/>
        </w:rPr>
        <w:t>y</w:t>
      </w:r>
      <w:r w:rsidR="00382336">
        <w:rPr>
          <w:rFonts w:eastAsia="Times New Roman" w:cs="Times New Roman"/>
          <w:szCs w:val="24"/>
        </w:rPr>
        <w:t xml:space="preserve"> </w:t>
      </w:r>
      <w:r w:rsidR="006646E9">
        <w:rPr>
          <w:rFonts w:eastAsia="Times New Roman" w:cs="Times New Roman"/>
          <w:szCs w:val="24"/>
        </w:rPr>
        <w:t>stref</w:t>
      </w:r>
      <w:r w:rsidR="004722AE">
        <w:rPr>
          <w:rFonts w:eastAsia="Times New Roman" w:cs="Times New Roman"/>
          <w:szCs w:val="24"/>
        </w:rPr>
        <w:t>:</w:t>
      </w:r>
    </w:p>
    <w:p w14:paraId="1386D365" w14:textId="3E19368A" w:rsidR="007C5C01" w:rsidRDefault="007C5C01" w:rsidP="007C5C01">
      <w:pPr>
        <w:pStyle w:val="Akapitzlist"/>
        <w:widowControl/>
        <w:numPr>
          <w:ilvl w:val="0"/>
          <w:numId w:val="4"/>
        </w:numPr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 w:rsidRPr="007C5C01">
        <w:rPr>
          <w:rFonts w:eastAsia="Times New Roman" w:cs="Times New Roman"/>
          <w:szCs w:val="24"/>
        </w:rPr>
        <w:t xml:space="preserve">„EP P30 LOTOS Terminale S.A.” zmieniono na „EP P30 </w:t>
      </w:r>
      <w:r w:rsidR="00DC2BCE" w:rsidRPr="007C5C01">
        <w:rPr>
          <w:rFonts w:eastAsia="Times New Roman" w:cs="Times New Roman"/>
          <w:szCs w:val="24"/>
        </w:rPr>
        <w:t>Czechowice-Dziedzice”</w:t>
      </w:r>
      <w:r>
        <w:rPr>
          <w:rFonts w:eastAsia="Times New Roman" w:cs="Times New Roman"/>
          <w:szCs w:val="24"/>
        </w:rPr>
        <w:t>,</w:t>
      </w:r>
    </w:p>
    <w:p w14:paraId="394BA0DD" w14:textId="40EB9900" w:rsidR="007C5C01" w:rsidRDefault="000430E1" w:rsidP="001679DC">
      <w:pPr>
        <w:pStyle w:val="Akapitzlist"/>
        <w:widowControl/>
        <w:numPr>
          <w:ilvl w:val="0"/>
          <w:numId w:val="4"/>
        </w:numPr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„</w:t>
      </w:r>
      <w:r w:rsidR="001679DC" w:rsidRPr="001679DC">
        <w:rPr>
          <w:rFonts w:eastAsia="Times New Roman" w:cs="Times New Roman"/>
          <w:szCs w:val="24"/>
        </w:rPr>
        <w:t>EP P31 LOTOS</w:t>
      </w:r>
      <w:r w:rsidR="001679DC">
        <w:rPr>
          <w:rFonts w:eastAsia="Times New Roman" w:cs="Times New Roman"/>
          <w:szCs w:val="24"/>
        </w:rPr>
        <w:t xml:space="preserve"> – </w:t>
      </w:r>
      <w:r w:rsidR="001679DC" w:rsidRPr="001679DC">
        <w:rPr>
          <w:rFonts w:eastAsia="Times New Roman" w:cs="Times New Roman"/>
          <w:szCs w:val="24"/>
        </w:rPr>
        <w:t>Infrastruktura S.A.</w:t>
      </w:r>
      <w:r>
        <w:rPr>
          <w:rFonts w:eastAsia="Times New Roman" w:cs="Times New Roman"/>
          <w:szCs w:val="24"/>
        </w:rPr>
        <w:t>”</w:t>
      </w:r>
      <w:r w:rsidR="001679DC" w:rsidRPr="001679DC">
        <w:rPr>
          <w:rFonts w:eastAsia="Times New Roman" w:cs="Times New Roman"/>
          <w:szCs w:val="24"/>
        </w:rPr>
        <w:t xml:space="preserve"> </w:t>
      </w:r>
      <w:bookmarkStart w:id="1" w:name="_Hlk124500423"/>
      <w:r w:rsidR="001679DC" w:rsidRPr="001679DC">
        <w:rPr>
          <w:rFonts w:eastAsia="Times New Roman" w:cs="Times New Roman"/>
          <w:szCs w:val="24"/>
        </w:rPr>
        <w:t xml:space="preserve">zmieniono na </w:t>
      </w:r>
      <w:bookmarkEnd w:id="1"/>
      <w:r>
        <w:rPr>
          <w:rFonts w:eastAsia="Times New Roman" w:cs="Times New Roman"/>
          <w:szCs w:val="24"/>
        </w:rPr>
        <w:t>„</w:t>
      </w:r>
      <w:r w:rsidR="00912211">
        <w:rPr>
          <w:rFonts w:eastAsia="Times New Roman" w:cs="Times New Roman"/>
          <w:szCs w:val="24"/>
        </w:rPr>
        <w:t>EP P31</w:t>
      </w:r>
      <w:r w:rsidR="007C5C01" w:rsidRPr="001679DC">
        <w:rPr>
          <w:rFonts w:eastAsia="Times New Roman" w:cs="Times New Roman"/>
          <w:szCs w:val="24"/>
        </w:rPr>
        <w:t xml:space="preserve"> </w:t>
      </w:r>
      <w:r w:rsidR="00DC2BCE" w:rsidRPr="001679DC">
        <w:rPr>
          <w:rFonts w:eastAsia="Times New Roman" w:cs="Times New Roman"/>
          <w:szCs w:val="24"/>
        </w:rPr>
        <w:t>Jasło</w:t>
      </w:r>
      <w:r>
        <w:rPr>
          <w:rFonts w:eastAsia="Times New Roman" w:cs="Times New Roman"/>
          <w:szCs w:val="24"/>
        </w:rPr>
        <w:t>”</w:t>
      </w:r>
      <w:r w:rsidR="001679DC" w:rsidRPr="001679DC">
        <w:rPr>
          <w:rFonts w:eastAsia="Times New Roman" w:cs="Times New Roman"/>
          <w:szCs w:val="24"/>
        </w:rPr>
        <w:t>,</w:t>
      </w:r>
    </w:p>
    <w:p w14:paraId="27CE7B60" w14:textId="2959694C" w:rsidR="001679DC" w:rsidRPr="002845EE" w:rsidRDefault="000430E1" w:rsidP="002845EE">
      <w:pPr>
        <w:pStyle w:val="Akapitzlist"/>
        <w:widowControl/>
        <w:numPr>
          <w:ilvl w:val="0"/>
          <w:numId w:val="4"/>
        </w:numPr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„</w:t>
      </w:r>
      <w:r w:rsidR="001679DC" w:rsidRPr="001679DC">
        <w:rPr>
          <w:rFonts w:eastAsia="Times New Roman" w:cs="Times New Roman"/>
          <w:szCs w:val="24"/>
        </w:rPr>
        <w:t>EP P32 Zakłady Azotowe „Kędzierzyn” S.A.</w:t>
      </w:r>
      <w:r>
        <w:rPr>
          <w:rFonts w:eastAsia="Times New Roman" w:cs="Times New Roman"/>
          <w:szCs w:val="24"/>
        </w:rPr>
        <w:t>”</w:t>
      </w:r>
      <w:r w:rsidR="001679DC" w:rsidRPr="001679DC">
        <w:rPr>
          <w:rFonts w:eastAsia="Times New Roman" w:cs="Times New Roman"/>
          <w:szCs w:val="24"/>
        </w:rPr>
        <w:t xml:space="preserve"> zmieniono na </w:t>
      </w:r>
      <w:r>
        <w:rPr>
          <w:rFonts w:eastAsia="Times New Roman" w:cs="Times New Roman"/>
          <w:szCs w:val="24"/>
        </w:rPr>
        <w:t>„</w:t>
      </w:r>
      <w:r w:rsidR="001679DC" w:rsidRPr="001679DC">
        <w:rPr>
          <w:rFonts w:eastAsia="Times New Roman" w:cs="Times New Roman"/>
          <w:szCs w:val="24"/>
        </w:rPr>
        <w:t xml:space="preserve">EP P32 </w:t>
      </w:r>
      <w:r w:rsidR="001679DC">
        <w:rPr>
          <w:rFonts w:eastAsia="Times New Roman" w:cs="Times New Roman"/>
          <w:szCs w:val="24"/>
        </w:rPr>
        <w:t xml:space="preserve"> </w:t>
      </w:r>
      <w:r w:rsidR="00DC2BCE" w:rsidRPr="001679DC">
        <w:rPr>
          <w:rFonts w:eastAsia="Times New Roman" w:cs="Times New Roman"/>
          <w:szCs w:val="24"/>
        </w:rPr>
        <w:t>Kędzierzyn-Koźle</w:t>
      </w:r>
      <w:r>
        <w:rPr>
          <w:rFonts w:eastAsia="Times New Roman" w:cs="Times New Roman"/>
          <w:szCs w:val="24"/>
        </w:rPr>
        <w:t>”</w:t>
      </w:r>
      <w:r w:rsidR="002845EE">
        <w:rPr>
          <w:rFonts w:eastAsia="Times New Roman" w:cs="Times New Roman"/>
          <w:szCs w:val="24"/>
        </w:rPr>
        <w:t>.</w:t>
      </w:r>
    </w:p>
    <w:p w14:paraId="294D08E0" w14:textId="360A3DA3" w:rsidR="00F03B3F" w:rsidRDefault="0075642E" w:rsidP="00C0453B">
      <w:pPr>
        <w:widowControl/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Ponadto wprowadzono nowe strefy:</w:t>
      </w:r>
      <w:r w:rsidR="004722AE">
        <w:rPr>
          <w:rFonts w:eastAsia="Times New Roman" w:cs="Times New Roman"/>
          <w:szCs w:val="24"/>
        </w:rPr>
        <w:t xml:space="preserve"> </w:t>
      </w:r>
      <w:r w:rsidR="004722AE">
        <w:t xml:space="preserve">EP </w:t>
      </w:r>
      <w:r>
        <w:t xml:space="preserve">P35 </w:t>
      </w:r>
      <w:r w:rsidR="004722AE">
        <w:t xml:space="preserve">Białobrzegi, EP </w:t>
      </w:r>
      <w:r>
        <w:t xml:space="preserve">P36 </w:t>
      </w:r>
      <w:r w:rsidR="004722AE">
        <w:t>Gdańsk</w:t>
      </w:r>
      <w:r>
        <w:t xml:space="preserve"> II</w:t>
      </w:r>
      <w:r w:rsidR="004722AE">
        <w:t xml:space="preserve">, EP </w:t>
      </w:r>
      <w:r>
        <w:t xml:space="preserve">P37 </w:t>
      </w:r>
      <w:r w:rsidR="008B0471">
        <w:t>Dobrów</w:t>
      </w:r>
      <w:r w:rsidR="004722AE">
        <w:t xml:space="preserve">, EP </w:t>
      </w:r>
      <w:r>
        <w:t xml:space="preserve">P38 </w:t>
      </w:r>
      <w:r w:rsidR="004722AE">
        <w:t>Osiek</w:t>
      </w:r>
      <w:r w:rsidR="00DE4D5B">
        <w:rPr>
          <w:rFonts w:eastAsia="Times New Roman" w:cs="Times New Roman"/>
          <w:szCs w:val="24"/>
        </w:rPr>
        <w:t>.</w:t>
      </w:r>
    </w:p>
    <w:p w14:paraId="31425791" w14:textId="41EB7825" w:rsidR="00F03B3F" w:rsidRDefault="00DE4D5B" w:rsidP="00C0453B">
      <w:pPr>
        <w:widowControl/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</w:t>
      </w:r>
      <w:r w:rsidR="00631610">
        <w:rPr>
          <w:rFonts w:eastAsia="Times New Roman" w:cs="Times New Roman"/>
          <w:szCs w:val="24"/>
        </w:rPr>
        <w:t xml:space="preserve">mieniono </w:t>
      </w:r>
      <w:r>
        <w:rPr>
          <w:rFonts w:eastAsia="Times New Roman" w:cs="Times New Roman"/>
          <w:szCs w:val="24"/>
        </w:rPr>
        <w:t xml:space="preserve">także </w:t>
      </w:r>
      <w:r w:rsidR="00311878">
        <w:rPr>
          <w:rFonts w:eastAsia="Times New Roman" w:cs="Times New Roman"/>
          <w:szCs w:val="24"/>
        </w:rPr>
        <w:t>granicę</w:t>
      </w:r>
      <w:r w:rsidR="00631610">
        <w:rPr>
          <w:rFonts w:eastAsia="Times New Roman" w:cs="Times New Roman"/>
          <w:szCs w:val="24"/>
        </w:rPr>
        <w:t xml:space="preserve"> </w:t>
      </w:r>
      <w:r w:rsidR="004722AE">
        <w:rPr>
          <w:rFonts w:eastAsia="Times New Roman" w:cs="Times New Roman"/>
          <w:szCs w:val="24"/>
        </w:rPr>
        <w:t xml:space="preserve">obowiązującej </w:t>
      </w:r>
      <w:r w:rsidR="00631610">
        <w:rPr>
          <w:rFonts w:eastAsia="Times New Roman" w:cs="Times New Roman"/>
          <w:szCs w:val="24"/>
        </w:rPr>
        <w:t>stref</w:t>
      </w:r>
      <w:r w:rsidR="004722AE">
        <w:rPr>
          <w:rFonts w:eastAsia="Times New Roman" w:cs="Times New Roman"/>
          <w:szCs w:val="24"/>
        </w:rPr>
        <w:t>y</w:t>
      </w:r>
      <w:r>
        <w:rPr>
          <w:rFonts w:eastAsia="Times New Roman" w:cs="Times New Roman"/>
          <w:szCs w:val="24"/>
        </w:rPr>
        <w:t xml:space="preserve"> </w:t>
      </w:r>
      <w:r w:rsidRPr="00E313AD">
        <w:rPr>
          <w:rFonts w:eastAsia="Times New Roman" w:cs="Times New Roman"/>
          <w:szCs w:val="24"/>
        </w:rPr>
        <w:t>EP P</w:t>
      </w:r>
      <w:r w:rsidR="002845EE">
        <w:rPr>
          <w:rFonts w:eastAsia="Times New Roman" w:cs="Times New Roman"/>
          <w:szCs w:val="24"/>
        </w:rPr>
        <w:t>10</w:t>
      </w:r>
      <w:r>
        <w:rPr>
          <w:rFonts w:eastAsia="Times New Roman" w:cs="Times New Roman"/>
          <w:szCs w:val="24"/>
        </w:rPr>
        <w:t xml:space="preserve"> Świerk</w:t>
      </w:r>
      <w:r w:rsidR="004722AE">
        <w:rPr>
          <w:rFonts w:eastAsia="Times New Roman" w:cs="Times New Roman"/>
          <w:szCs w:val="24"/>
        </w:rPr>
        <w:t xml:space="preserve"> przez zmianę jej środka</w:t>
      </w:r>
      <w:r w:rsidR="00F03B3F">
        <w:rPr>
          <w:rFonts w:eastAsia="Times New Roman" w:cs="Times New Roman"/>
          <w:szCs w:val="24"/>
        </w:rPr>
        <w:t>.</w:t>
      </w:r>
    </w:p>
    <w:p w14:paraId="473A4F2E" w14:textId="6E1835B4" w:rsidR="00156CF0" w:rsidRDefault="00F03B3F" w:rsidP="00C0453B">
      <w:pPr>
        <w:widowControl/>
        <w:suppressAutoHyphens/>
        <w:adjustRightInd/>
        <w:spacing w:before="120" w:after="120"/>
        <w:jc w:val="both"/>
        <w:textAlignment w:val="baseline"/>
      </w:pPr>
      <w:r>
        <w:rPr>
          <w:rFonts w:eastAsia="Times New Roman" w:cs="Times New Roman"/>
          <w:szCs w:val="24"/>
        </w:rPr>
        <w:t xml:space="preserve">Ponadto </w:t>
      </w:r>
      <w:r w:rsidR="00631610">
        <w:rPr>
          <w:rFonts w:eastAsia="Times New Roman" w:cs="Times New Roman"/>
          <w:szCs w:val="24"/>
        </w:rPr>
        <w:t>usu</w:t>
      </w:r>
      <w:r w:rsidR="006646E9">
        <w:rPr>
          <w:rFonts w:eastAsia="Times New Roman" w:cs="Times New Roman"/>
          <w:szCs w:val="24"/>
        </w:rPr>
        <w:t>nię</w:t>
      </w:r>
      <w:r>
        <w:rPr>
          <w:rFonts w:eastAsia="Times New Roman" w:cs="Times New Roman"/>
          <w:szCs w:val="24"/>
        </w:rPr>
        <w:t xml:space="preserve">to </w:t>
      </w:r>
      <w:r w:rsidR="00631610">
        <w:rPr>
          <w:rFonts w:eastAsia="Times New Roman" w:cs="Times New Roman"/>
          <w:szCs w:val="24"/>
        </w:rPr>
        <w:t xml:space="preserve">wyraz „koło” zastępując </w:t>
      </w:r>
      <w:r>
        <w:rPr>
          <w:rFonts w:eastAsia="Times New Roman" w:cs="Times New Roman"/>
          <w:szCs w:val="24"/>
        </w:rPr>
        <w:t xml:space="preserve">go </w:t>
      </w:r>
      <w:r w:rsidR="00631610">
        <w:rPr>
          <w:rFonts w:eastAsia="Times New Roman" w:cs="Times New Roman"/>
          <w:szCs w:val="24"/>
        </w:rPr>
        <w:t xml:space="preserve">wyrazem </w:t>
      </w:r>
      <w:r w:rsidR="006646E9">
        <w:rPr>
          <w:rFonts w:eastAsia="Times New Roman" w:cs="Times New Roman"/>
          <w:szCs w:val="24"/>
        </w:rPr>
        <w:t>„</w:t>
      </w:r>
      <w:r w:rsidR="00631610">
        <w:rPr>
          <w:rFonts w:eastAsia="Times New Roman" w:cs="Times New Roman"/>
          <w:szCs w:val="24"/>
        </w:rPr>
        <w:t>okrąg</w:t>
      </w:r>
      <w:r w:rsidR="006646E9">
        <w:rPr>
          <w:rFonts w:eastAsia="Times New Roman" w:cs="Times New Roman"/>
          <w:szCs w:val="24"/>
        </w:rPr>
        <w:t>”</w:t>
      </w:r>
      <w:r w:rsidR="00631610">
        <w:rPr>
          <w:rFonts w:eastAsia="Times New Roman" w:cs="Times New Roman"/>
          <w:szCs w:val="24"/>
        </w:rPr>
        <w:t xml:space="preserve"> </w:t>
      </w:r>
      <w:r w:rsidR="002845EE">
        <w:rPr>
          <w:rFonts w:eastAsia="Times New Roman" w:cs="Times New Roman"/>
          <w:szCs w:val="24"/>
        </w:rPr>
        <w:t xml:space="preserve">odnośnie do </w:t>
      </w:r>
      <w:r w:rsidR="00156CF0" w:rsidRPr="00E313AD">
        <w:rPr>
          <w:rFonts w:eastAsia="Times New Roman" w:cs="Times New Roman"/>
          <w:szCs w:val="24"/>
        </w:rPr>
        <w:t>stref zakazan</w:t>
      </w:r>
      <w:r w:rsidR="006646E9">
        <w:rPr>
          <w:rFonts w:eastAsia="Times New Roman" w:cs="Times New Roman"/>
          <w:szCs w:val="24"/>
        </w:rPr>
        <w:t>ych</w:t>
      </w:r>
      <w:r w:rsidR="00156CF0" w:rsidRPr="00E313AD">
        <w:rPr>
          <w:rFonts w:eastAsia="Times New Roman" w:cs="Times New Roman"/>
          <w:szCs w:val="24"/>
        </w:rPr>
        <w:t xml:space="preserve"> P:</w:t>
      </w:r>
      <w:r w:rsidR="00A72DD2">
        <w:rPr>
          <w:rFonts w:eastAsia="Times New Roman" w:cs="Times New Roman"/>
          <w:szCs w:val="24"/>
        </w:rPr>
        <w:t xml:space="preserve"> </w:t>
      </w:r>
      <w:r w:rsidR="00156CF0" w:rsidRPr="00E313AD">
        <w:rPr>
          <w:rFonts w:eastAsia="Times New Roman" w:cs="Times New Roman"/>
          <w:szCs w:val="24"/>
        </w:rPr>
        <w:t>EP P</w:t>
      </w:r>
      <w:r w:rsidR="00631610">
        <w:rPr>
          <w:rFonts w:eastAsia="Times New Roman" w:cs="Times New Roman"/>
          <w:szCs w:val="24"/>
        </w:rPr>
        <w:t>1 Pionki, EP P2 Krupski Młyn, EP P3 Puławy, EP P4 Bieruń, EP P5 Oświęcim, EP P6 Tarnów, EP P1</w:t>
      </w:r>
      <w:r w:rsidR="00B14FAB">
        <w:rPr>
          <w:rFonts w:eastAsia="Times New Roman" w:cs="Times New Roman"/>
          <w:szCs w:val="24"/>
        </w:rPr>
        <w:t>0</w:t>
      </w:r>
      <w:r w:rsidR="00631610">
        <w:rPr>
          <w:rFonts w:eastAsia="Times New Roman" w:cs="Times New Roman"/>
          <w:szCs w:val="24"/>
        </w:rPr>
        <w:t xml:space="preserve"> </w:t>
      </w:r>
      <w:r w:rsidR="00CF179D">
        <w:rPr>
          <w:rFonts w:eastAsia="Times New Roman" w:cs="Times New Roman"/>
          <w:szCs w:val="24"/>
        </w:rPr>
        <w:t xml:space="preserve">Świerk, </w:t>
      </w:r>
      <w:r w:rsidR="00CF179D" w:rsidRPr="002845EE">
        <w:rPr>
          <w:rFonts w:eastAsia="Times New Roman" w:cs="Times New Roman"/>
          <w:szCs w:val="24"/>
        </w:rPr>
        <w:t xml:space="preserve">EP P11 </w:t>
      </w:r>
      <w:r w:rsidR="00B14FAB" w:rsidRPr="002845EE">
        <w:rPr>
          <w:rFonts w:eastAsia="Times New Roman" w:cs="Times New Roman"/>
          <w:szCs w:val="24"/>
        </w:rPr>
        <w:t>B</w:t>
      </w:r>
      <w:r w:rsidR="00631610" w:rsidRPr="002845EE">
        <w:rPr>
          <w:rFonts w:eastAsia="Times New Roman" w:cs="Times New Roman"/>
          <w:szCs w:val="24"/>
        </w:rPr>
        <w:t>rzeg Dolny</w:t>
      </w:r>
      <w:r w:rsidR="00631610">
        <w:rPr>
          <w:rFonts w:eastAsia="Times New Roman" w:cs="Times New Roman"/>
          <w:szCs w:val="24"/>
        </w:rPr>
        <w:t xml:space="preserve">, </w:t>
      </w:r>
      <w:r w:rsidR="00CF179D">
        <w:rPr>
          <w:rFonts w:eastAsia="Times New Roman" w:cs="Times New Roman"/>
          <w:szCs w:val="24"/>
        </w:rPr>
        <w:t xml:space="preserve">EP P12 </w:t>
      </w:r>
      <w:r w:rsidR="00156CF0" w:rsidRPr="00E313AD">
        <w:rPr>
          <w:rFonts w:eastAsia="Times New Roman" w:cs="Times New Roman"/>
          <w:szCs w:val="24"/>
        </w:rPr>
        <w:t>Stare Kiejkuty</w:t>
      </w:r>
      <w:r w:rsidR="00631610">
        <w:rPr>
          <w:rFonts w:eastAsia="Times New Roman" w:cs="Times New Roman"/>
          <w:szCs w:val="24"/>
        </w:rPr>
        <w:t xml:space="preserve">, </w:t>
      </w:r>
      <w:r w:rsidR="00CF179D">
        <w:rPr>
          <w:rFonts w:eastAsia="Times New Roman" w:cs="Times New Roman"/>
          <w:szCs w:val="24"/>
        </w:rPr>
        <w:t>EP P14</w:t>
      </w:r>
      <w:r w:rsidR="002845EE">
        <w:rPr>
          <w:rFonts w:eastAsia="Times New Roman" w:cs="Times New Roman"/>
          <w:szCs w:val="24"/>
        </w:rPr>
        <w:t xml:space="preserve"> </w:t>
      </w:r>
      <w:r w:rsidR="00631610">
        <w:rPr>
          <w:rFonts w:eastAsia="Times New Roman" w:cs="Times New Roman"/>
          <w:szCs w:val="24"/>
        </w:rPr>
        <w:t>Skarżysko</w:t>
      </w:r>
      <w:r w:rsidR="005A703E">
        <w:rPr>
          <w:rFonts w:eastAsia="Times New Roman" w:cs="Times New Roman"/>
          <w:szCs w:val="24"/>
        </w:rPr>
        <w:t>-</w:t>
      </w:r>
      <w:r w:rsidR="00631610">
        <w:rPr>
          <w:rFonts w:eastAsia="Times New Roman" w:cs="Times New Roman"/>
          <w:szCs w:val="24"/>
        </w:rPr>
        <w:t xml:space="preserve">Kamienna, EP </w:t>
      </w:r>
      <w:r w:rsidR="00CF179D">
        <w:rPr>
          <w:rFonts w:eastAsia="Times New Roman" w:cs="Times New Roman"/>
          <w:szCs w:val="24"/>
        </w:rPr>
        <w:t xml:space="preserve">P18 </w:t>
      </w:r>
      <w:proofErr w:type="spellStart"/>
      <w:r w:rsidR="00631610">
        <w:rPr>
          <w:rFonts w:eastAsia="Times New Roman" w:cs="Times New Roman"/>
          <w:szCs w:val="24"/>
        </w:rPr>
        <w:t>Emów</w:t>
      </w:r>
      <w:proofErr w:type="spellEnd"/>
      <w:r w:rsidR="00631610">
        <w:rPr>
          <w:rFonts w:eastAsia="Times New Roman" w:cs="Times New Roman"/>
          <w:szCs w:val="24"/>
        </w:rPr>
        <w:t>,</w:t>
      </w:r>
      <w:r w:rsidR="00156CF0" w:rsidRPr="00E313AD">
        <w:rPr>
          <w:rFonts w:eastAsia="Times New Roman" w:cs="Times New Roman"/>
          <w:szCs w:val="24"/>
        </w:rPr>
        <w:t xml:space="preserve"> EP </w:t>
      </w:r>
      <w:r w:rsidR="00CF179D" w:rsidRPr="00E313AD">
        <w:rPr>
          <w:rFonts w:eastAsia="Times New Roman" w:cs="Times New Roman"/>
          <w:szCs w:val="24"/>
        </w:rPr>
        <w:t>P</w:t>
      </w:r>
      <w:r w:rsidR="00CF179D">
        <w:rPr>
          <w:rFonts w:eastAsia="Times New Roman" w:cs="Times New Roman"/>
          <w:szCs w:val="24"/>
        </w:rPr>
        <w:t xml:space="preserve">20 </w:t>
      </w:r>
      <w:r w:rsidR="00631610">
        <w:rPr>
          <w:rFonts w:eastAsia="Times New Roman" w:cs="Times New Roman"/>
          <w:szCs w:val="24"/>
        </w:rPr>
        <w:t>Muzeum Auschwitz</w:t>
      </w:r>
      <w:r w:rsidR="005A703E">
        <w:rPr>
          <w:rFonts w:eastAsia="Times New Roman" w:cs="Times New Roman"/>
          <w:szCs w:val="24"/>
        </w:rPr>
        <w:t>-</w:t>
      </w:r>
      <w:r w:rsidR="00631610">
        <w:rPr>
          <w:rFonts w:eastAsia="Times New Roman" w:cs="Times New Roman"/>
          <w:szCs w:val="24"/>
        </w:rPr>
        <w:t xml:space="preserve">Birkenau, EP </w:t>
      </w:r>
      <w:r w:rsidR="00CF179D">
        <w:rPr>
          <w:rFonts w:eastAsia="Times New Roman" w:cs="Times New Roman"/>
          <w:szCs w:val="24"/>
        </w:rPr>
        <w:t xml:space="preserve">P23 </w:t>
      </w:r>
      <w:r w:rsidR="00631610">
        <w:rPr>
          <w:rFonts w:eastAsia="Times New Roman" w:cs="Times New Roman"/>
          <w:szCs w:val="24"/>
        </w:rPr>
        <w:t xml:space="preserve">Trzebinia, EP </w:t>
      </w:r>
      <w:r w:rsidR="00CF179D">
        <w:rPr>
          <w:rFonts w:eastAsia="Times New Roman" w:cs="Times New Roman"/>
          <w:szCs w:val="24"/>
        </w:rPr>
        <w:t xml:space="preserve">P24 </w:t>
      </w:r>
      <w:r w:rsidR="00631610">
        <w:rPr>
          <w:rFonts w:eastAsia="Times New Roman" w:cs="Times New Roman"/>
          <w:szCs w:val="24"/>
        </w:rPr>
        <w:t xml:space="preserve">Jedlicze, </w:t>
      </w:r>
      <w:r w:rsidR="00631610">
        <w:t xml:space="preserve">EP </w:t>
      </w:r>
      <w:r w:rsidR="00CF179D">
        <w:t xml:space="preserve">P26 </w:t>
      </w:r>
      <w:proofErr w:type="spellStart"/>
      <w:r w:rsidR="00631610">
        <w:t>Frontex</w:t>
      </w:r>
      <w:proofErr w:type="spellEnd"/>
      <w:r w:rsidR="00631610">
        <w:t xml:space="preserve">, EP </w:t>
      </w:r>
      <w:r w:rsidR="00CF179D">
        <w:t xml:space="preserve">P28 </w:t>
      </w:r>
      <w:r w:rsidR="00631610">
        <w:t>Kozienice</w:t>
      </w:r>
      <w:r w:rsidR="00631610">
        <w:rPr>
          <w:rFonts w:eastAsia="Times New Roman" w:cs="Times New Roman"/>
          <w:szCs w:val="24"/>
        </w:rPr>
        <w:t xml:space="preserve">, </w:t>
      </w:r>
      <w:r w:rsidR="00631610">
        <w:t xml:space="preserve">EP </w:t>
      </w:r>
      <w:r w:rsidR="00CF179D">
        <w:t xml:space="preserve">P29 </w:t>
      </w:r>
      <w:r w:rsidR="00631610">
        <w:t xml:space="preserve">Legionowo, EP </w:t>
      </w:r>
      <w:r w:rsidR="00CF179D">
        <w:t xml:space="preserve">P31 </w:t>
      </w:r>
      <w:r w:rsidR="008B0471">
        <w:t>Jasło</w:t>
      </w:r>
      <w:r w:rsidR="002845EE">
        <w:t>.</w:t>
      </w:r>
    </w:p>
    <w:p w14:paraId="6B85107C" w14:textId="62384883" w:rsidR="003E0897" w:rsidRDefault="00156CF0" w:rsidP="001361DB">
      <w:pPr>
        <w:spacing w:before="120" w:after="120"/>
        <w:jc w:val="both"/>
      </w:pPr>
      <w:r w:rsidRPr="00E313AD">
        <w:rPr>
          <w:rFonts w:eastAsia="Times New Roman" w:cs="Times New Roman"/>
          <w:szCs w:val="24"/>
        </w:rPr>
        <w:t>Na wniosek Dyrektor</w:t>
      </w:r>
      <w:r w:rsidR="00CF710B">
        <w:rPr>
          <w:rFonts w:eastAsia="Times New Roman" w:cs="Times New Roman"/>
          <w:szCs w:val="24"/>
        </w:rPr>
        <w:t>ów</w:t>
      </w:r>
      <w:r w:rsidRPr="00E313AD">
        <w:rPr>
          <w:rFonts w:eastAsia="Times New Roman" w:cs="Times New Roman"/>
          <w:szCs w:val="24"/>
        </w:rPr>
        <w:t xml:space="preserve"> </w:t>
      </w:r>
      <w:r w:rsidR="00CF710B">
        <w:rPr>
          <w:rFonts w:eastAsia="Times New Roman" w:cs="Times New Roman"/>
          <w:szCs w:val="24"/>
        </w:rPr>
        <w:t>właściwych parków narodowych</w:t>
      </w:r>
      <w:r w:rsidR="00D6653D">
        <w:rPr>
          <w:rFonts w:eastAsia="Times New Roman" w:cs="Times New Roman"/>
          <w:szCs w:val="24"/>
        </w:rPr>
        <w:t>, w załączniku nr 3 do rozporządzenia</w:t>
      </w:r>
      <w:r w:rsidRPr="00E313AD">
        <w:rPr>
          <w:rFonts w:eastAsia="Times New Roman" w:cs="Times New Roman"/>
          <w:szCs w:val="24"/>
        </w:rPr>
        <w:t xml:space="preserve"> zmieniono granice stref</w:t>
      </w:r>
      <w:r w:rsidR="005C0391">
        <w:rPr>
          <w:rFonts w:eastAsia="Times New Roman" w:cs="Times New Roman"/>
          <w:szCs w:val="24"/>
        </w:rPr>
        <w:t>:</w:t>
      </w:r>
      <w:r w:rsidR="002845EE">
        <w:t xml:space="preserve"> </w:t>
      </w:r>
      <w:r w:rsidR="005C0391" w:rsidRPr="007A2289">
        <w:t>EP R</w:t>
      </w:r>
      <w:r w:rsidR="004C2CFD">
        <w:t>11</w:t>
      </w:r>
      <w:r w:rsidR="005C0391" w:rsidRPr="007A2289">
        <w:t xml:space="preserve"> Gorczański Park Narodowy</w:t>
      </w:r>
      <w:r w:rsidR="005C0391">
        <w:t xml:space="preserve">, </w:t>
      </w:r>
      <w:r w:rsidR="005C0391" w:rsidRPr="007A2289">
        <w:t xml:space="preserve">EP </w:t>
      </w:r>
      <w:r w:rsidR="00010DAA" w:rsidRPr="007A2289">
        <w:t>R</w:t>
      </w:r>
      <w:r w:rsidR="00010DAA">
        <w:t>13</w:t>
      </w:r>
      <w:r w:rsidR="00010DAA" w:rsidRPr="007A2289">
        <w:t xml:space="preserve"> </w:t>
      </w:r>
      <w:r w:rsidR="005C0391" w:rsidRPr="007A2289">
        <w:t>Karkonoski Park Narodowy</w:t>
      </w:r>
      <w:r w:rsidR="005C0391">
        <w:t xml:space="preserve">, </w:t>
      </w:r>
      <w:r w:rsidR="005C0391" w:rsidRPr="007A2289">
        <w:t>EP R</w:t>
      </w:r>
      <w:r w:rsidR="00D07FA2">
        <w:t>1</w:t>
      </w:r>
      <w:r w:rsidR="0046474B">
        <w:t>9</w:t>
      </w:r>
      <w:r w:rsidR="005C0391" w:rsidRPr="007A2289">
        <w:t xml:space="preserve"> Tatrzański Park Narodowy</w:t>
      </w:r>
      <w:r w:rsidR="005C0391">
        <w:t>,</w:t>
      </w:r>
      <w:r w:rsidR="00010DAA">
        <w:t xml:space="preserve"> EP R20 Wielkopolski Park Narodowy,</w:t>
      </w:r>
      <w:r w:rsidR="005C0391">
        <w:t xml:space="preserve"> </w:t>
      </w:r>
      <w:r w:rsidR="005C0391" w:rsidRPr="007A2289">
        <w:t xml:space="preserve">EP </w:t>
      </w:r>
      <w:r w:rsidR="00010DAA" w:rsidRPr="007A2289">
        <w:t>R</w:t>
      </w:r>
      <w:r w:rsidR="00010DAA">
        <w:t>22</w:t>
      </w:r>
      <w:r w:rsidR="00010DAA" w:rsidRPr="007A2289">
        <w:t xml:space="preserve"> </w:t>
      </w:r>
      <w:r w:rsidR="005C0391" w:rsidRPr="007A2289">
        <w:t>Woliński Park Narodowy</w:t>
      </w:r>
      <w:r w:rsidR="005C0391">
        <w:t>,</w:t>
      </w:r>
      <w:r w:rsidR="0072461B">
        <w:t xml:space="preserve"> </w:t>
      </w:r>
      <w:r w:rsidR="0072461B" w:rsidRPr="007A2289">
        <w:t xml:space="preserve">EP </w:t>
      </w:r>
      <w:r w:rsidR="00010DAA" w:rsidRPr="007A2289">
        <w:t>R</w:t>
      </w:r>
      <w:r w:rsidR="00010DAA">
        <w:t>26</w:t>
      </w:r>
      <w:r w:rsidR="00010DAA" w:rsidRPr="007A2289">
        <w:t xml:space="preserve"> </w:t>
      </w:r>
      <w:r w:rsidR="0072461B" w:rsidRPr="007A2289">
        <w:t>Park Narodowy Gór Stołowych</w:t>
      </w:r>
      <w:r w:rsidR="0072461B">
        <w:t xml:space="preserve">, </w:t>
      </w:r>
      <w:r w:rsidR="0072461B" w:rsidRPr="007A2289">
        <w:t xml:space="preserve">EP </w:t>
      </w:r>
      <w:r w:rsidR="00010DAA" w:rsidRPr="007A2289">
        <w:t>R2</w:t>
      </w:r>
      <w:r w:rsidR="00010DAA">
        <w:t>7</w:t>
      </w:r>
      <w:r w:rsidR="00010DAA" w:rsidRPr="007A2289">
        <w:t xml:space="preserve"> </w:t>
      </w:r>
      <w:r w:rsidR="0072461B" w:rsidRPr="007A2289">
        <w:t>Magurski Park Narodowy</w:t>
      </w:r>
      <w:r w:rsidR="0072461B">
        <w:t xml:space="preserve">, </w:t>
      </w:r>
      <w:r w:rsidR="0072461B" w:rsidRPr="007A2289">
        <w:t xml:space="preserve">EP </w:t>
      </w:r>
      <w:r w:rsidR="0031770D" w:rsidRPr="007A2289">
        <w:t>R2</w:t>
      </w:r>
      <w:r w:rsidR="0031770D">
        <w:t>8</w:t>
      </w:r>
      <w:r w:rsidR="0031770D" w:rsidRPr="007A2289">
        <w:t xml:space="preserve"> </w:t>
      </w:r>
      <w:r w:rsidR="0072461B" w:rsidRPr="007A2289">
        <w:t>Narwiański Park Narodowy</w:t>
      </w:r>
      <w:r w:rsidR="0072461B">
        <w:t xml:space="preserve">, </w:t>
      </w:r>
      <w:r w:rsidR="0072461B" w:rsidRPr="007A2289">
        <w:t>EP R</w:t>
      </w:r>
      <w:r w:rsidR="00D07FA2">
        <w:t>3</w:t>
      </w:r>
      <w:r w:rsidR="0031770D">
        <w:t>0</w:t>
      </w:r>
      <w:r w:rsidR="0072461B" w:rsidRPr="007A2289">
        <w:t xml:space="preserve"> Park Narodowy „Ujście Warty”</w:t>
      </w:r>
      <w:r w:rsidR="0072461B">
        <w:t>.</w:t>
      </w:r>
    </w:p>
    <w:p w14:paraId="6AB08903" w14:textId="12737784" w:rsidR="0072461B" w:rsidRDefault="0072461B" w:rsidP="00C0453B">
      <w:pPr>
        <w:spacing w:before="120" w:after="120"/>
        <w:jc w:val="both"/>
      </w:pPr>
      <w:r>
        <w:t xml:space="preserve">Usunięto wyraz „koło”, zastępując </w:t>
      </w:r>
      <w:r w:rsidR="00F03B3F">
        <w:t xml:space="preserve">go </w:t>
      </w:r>
      <w:r>
        <w:t>wyrazem „okrąg” przy określeniu granic poziomych strefy EP R40 Słupsk.</w:t>
      </w:r>
    </w:p>
    <w:p w14:paraId="1C880E05" w14:textId="1E6EB2DC" w:rsidR="00321B6B" w:rsidRDefault="00321B6B" w:rsidP="00DB4DA5">
      <w:r>
        <w:t xml:space="preserve">Ze względu na potrzeby Sił Zbrojnych RP, </w:t>
      </w:r>
      <w:r w:rsidR="004C0014">
        <w:t>utworzono</w:t>
      </w:r>
      <w:r>
        <w:t xml:space="preserve"> strefę EP R42 Sochaczew</w:t>
      </w:r>
      <w:r w:rsidR="00DB4DA5">
        <w:t>.</w:t>
      </w:r>
    </w:p>
    <w:p w14:paraId="6EFFC4CD" w14:textId="77777777" w:rsidR="00912211" w:rsidRDefault="00912211" w:rsidP="00912211">
      <w:pPr>
        <w:widowControl/>
        <w:suppressAutoHyphens/>
        <w:adjustRightInd/>
        <w:spacing w:before="120" w:after="120"/>
        <w:jc w:val="both"/>
        <w:textAlignment w:val="baseline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Z</w:t>
      </w:r>
      <w:r w:rsidRPr="00E313AD">
        <w:rPr>
          <w:rFonts w:eastAsia="Times New Roman" w:cs="Times New Roman"/>
          <w:szCs w:val="24"/>
        </w:rPr>
        <w:t>e względu na uzasadnione potrzeby instytucji państwowych, podmiotów sektora paliwowego lub instytucji kultury</w:t>
      </w:r>
      <w:r>
        <w:rPr>
          <w:rFonts w:eastAsia="Times New Roman" w:cs="Times New Roman"/>
          <w:szCs w:val="24"/>
        </w:rPr>
        <w:t>, wprowadzono nową strefę EP R43 Nowy Port.</w:t>
      </w:r>
    </w:p>
    <w:p w14:paraId="5316CDD7" w14:textId="652DD7FE" w:rsidR="00912211" w:rsidRDefault="00785CC2" w:rsidP="00912211">
      <w:pPr>
        <w:widowControl/>
        <w:suppressAutoHyphens/>
        <w:adjustRightInd/>
        <w:spacing w:before="120" w:after="120"/>
        <w:jc w:val="both"/>
        <w:textAlignment w:val="baseline"/>
      </w:pPr>
      <w:bookmarkStart w:id="2" w:name="_GoBack"/>
      <w:bookmarkEnd w:id="2"/>
      <w:r>
        <w:lastRenderedPageBreak/>
        <w:t xml:space="preserve">Zgodnie z brzmieniem </w:t>
      </w:r>
      <w:r w:rsidRPr="00C54370">
        <w:t xml:space="preserve">§ </w:t>
      </w:r>
      <w:r>
        <w:t>2 projektu r</w:t>
      </w:r>
      <w:r w:rsidRPr="00E700EB">
        <w:t>ozporządzeni</w:t>
      </w:r>
      <w:r>
        <w:t xml:space="preserve">a proponuje się </w:t>
      </w:r>
      <w:r w:rsidRPr="003303E2">
        <w:t>w</w:t>
      </w:r>
      <w:r>
        <w:t>ejście</w:t>
      </w:r>
      <w:r w:rsidRPr="003303E2">
        <w:t xml:space="preserve"> w życie </w:t>
      </w:r>
      <w:r>
        <w:t>rozporządzenia po upływie 90 dni od dnia jego ogłoszenia</w:t>
      </w:r>
      <w:r w:rsidR="004C0014">
        <w:t xml:space="preserve">. </w:t>
      </w:r>
      <w:r w:rsidR="005F37C7">
        <w:t>J</w:t>
      </w:r>
      <w:r w:rsidR="00AD11B0">
        <w:t>est to okres w pełni wystarczający</w:t>
      </w:r>
      <w:r w:rsidR="00602360">
        <w:t>,</w:t>
      </w:r>
      <w:r w:rsidR="00AD11B0">
        <w:t xml:space="preserve"> aby </w:t>
      </w:r>
      <w:r w:rsidR="00602360">
        <w:t xml:space="preserve">podmioty zainteresowane zapoznały </w:t>
      </w:r>
      <w:r w:rsidR="00AD11B0">
        <w:t xml:space="preserve">się ze </w:t>
      </w:r>
      <w:r w:rsidR="00AD11B0" w:rsidRPr="00AD11B0">
        <w:t>zaktualizowan</w:t>
      </w:r>
      <w:r w:rsidR="00AD11B0">
        <w:t>ymi wykazami</w:t>
      </w:r>
      <w:r w:rsidR="00AD11B0" w:rsidRPr="00AD11B0">
        <w:t xml:space="preserve"> stref P i R</w:t>
      </w:r>
      <w:r w:rsidR="00FC575E">
        <w:t xml:space="preserve">. </w:t>
      </w:r>
      <w:r w:rsidR="00DB4DA5">
        <w:t>Z </w:t>
      </w:r>
      <w:r w:rsidR="00602360">
        <w:t>uwagi na rodzaj wprowadzanych zmian brak jest konieczności</w:t>
      </w:r>
      <w:r w:rsidR="00482325">
        <w:t xml:space="preserve"> </w:t>
      </w:r>
      <w:r w:rsidR="00CA5237" w:rsidRPr="00CA5237">
        <w:t xml:space="preserve">zamieszczania w projekcie rozporządzenia przepisów przejściowych lub dostosowujących. </w:t>
      </w:r>
    </w:p>
    <w:p w14:paraId="29EDA791" w14:textId="2CE38780" w:rsidR="00C722F1" w:rsidRDefault="00C722F1" w:rsidP="00C0453B">
      <w:pPr>
        <w:spacing w:before="120" w:after="120"/>
        <w:jc w:val="both"/>
      </w:pPr>
      <w:r w:rsidRPr="00C722F1">
        <w:t>Nie ma możliwości osiągnięcia celu projektu za pomocą innych środków niż wydanie projektowanego rozporządzenia.</w:t>
      </w:r>
    </w:p>
    <w:p w14:paraId="47D8564C" w14:textId="77777777" w:rsidR="003E0897" w:rsidRPr="003E0897" w:rsidRDefault="003E0897" w:rsidP="001361D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b/>
          <w:szCs w:val="24"/>
        </w:rPr>
      </w:pPr>
      <w:r w:rsidRPr="003E0897">
        <w:rPr>
          <w:rFonts w:eastAsia="Times New Roman" w:cs="Times New Roman"/>
          <w:b/>
          <w:szCs w:val="24"/>
        </w:rPr>
        <w:t>III.</w:t>
      </w:r>
      <w:r w:rsidRPr="003E0897">
        <w:rPr>
          <w:rFonts w:eastAsia="Times New Roman" w:cs="Times New Roman"/>
          <w:b/>
          <w:szCs w:val="24"/>
        </w:rPr>
        <w:tab/>
        <w:t>Przewidywane skutki finansowe i prawne wejścia w życie rozporządzenia</w:t>
      </w:r>
    </w:p>
    <w:p w14:paraId="517373CE" w14:textId="77777777" w:rsidR="003E0897" w:rsidRPr="003E0897" w:rsidRDefault="003E0897" w:rsidP="001361D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szCs w:val="24"/>
        </w:rPr>
      </w:pPr>
      <w:r w:rsidRPr="003E0897">
        <w:rPr>
          <w:rFonts w:eastAsia="Times New Roman" w:cs="Times New Roman"/>
          <w:szCs w:val="24"/>
        </w:rPr>
        <w:t>Wejście w życie rozporządzenia nie będzie miało wpływu na sektor finansów publicznych.</w:t>
      </w:r>
    </w:p>
    <w:p w14:paraId="552E89A4" w14:textId="4CBEC68C" w:rsidR="003E0897" w:rsidRPr="003E0897" w:rsidRDefault="003E0897" w:rsidP="00C0453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szCs w:val="24"/>
        </w:rPr>
      </w:pPr>
      <w:r w:rsidRPr="003E0897">
        <w:rPr>
          <w:rFonts w:eastAsia="Times New Roman" w:cs="Times New Roman"/>
          <w:szCs w:val="24"/>
        </w:rPr>
        <w:t xml:space="preserve">Rozwiązania zawarte w projekcie rozporządzenia nie będą miały wpływu na działalność </w:t>
      </w:r>
      <w:proofErr w:type="spellStart"/>
      <w:r w:rsidRPr="003E0897">
        <w:rPr>
          <w:rFonts w:eastAsia="Times New Roman" w:cs="Times New Roman"/>
          <w:szCs w:val="24"/>
        </w:rPr>
        <w:t>mikroprzedsiębiorców</w:t>
      </w:r>
      <w:proofErr w:type="spellEnd"/>
      <w:r>
        <w:rPr>
          <w:rFonts w:eastAsia="Times New Roman" w:cs="Times New Roman"/>
          <w:szCs w:val="24"/>
        </w:rPr>
        <w:t xml:space="preserve"> oraz </w:t>
      </w:r>
      <w:r w:rsidRPr="003E0897">
        <w:rPr>
          <w:rFonts w:eastAsia="Times New Roman" w:cs="Times New Roman"/>
          <w:szCs w:val="24"/>
        </w:rPr>
        <w:t>małych i średnich</w:t>
      </w:r>
      <w:r>
        <w:rPr>
          <w:rFonts w:eastAsia="Times New Roman" w:cs="Times New Roman"/>
          <w:szCs w:val="24"/>
        </w:rPr>
        <w:t xml:space="preserve"> przedsiębiorców</w:t>
      </w:r>
      <w:r w:rsidRPr="003E0897">
        <w:rPr>
          <w:rFonts w:eastAsia="Times New Roman" w:cs="Times New Roman"/>
          <w:szCs w:val="24"/>
        </w:rPr>
        <w:t>.</w:t>
      </w:r>
    </w:p>
    <w:p w14:paraId="2FD465CE" w14:textId="77777777" w:rsidR="006C1557" w:rsidRPr="006C1557" w:rsidRDefault="006C1557" w:rsidP="001361D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b/>
          <w:szCs w:val="24"/>
        </w:rPr>
      </w:pPr>
      <w:r w:rsidRPr="006C1557">
        <w:rPr>
          <w:rFonts w:eastAsia="Times New Roman" w:cs="Times New Roman"/>
          <w:b/>
          <w:szCs w:val="24"/>
        </w:rPr>
        <w:t>IV.</w:t>
      </w:r>
      <w:r w:rsidRPr="006C1557">
        <w:rPr>
          <w:rFonts w:eastAsia="Times New Roman" w:cs="Times New Roman"/>
          <w:b/>
          <w:szCs w:val="24"/>
        </w:rPr>
        <w:tab/>
        <w:t>Przedstawienie projektu właściwym organom i instytucjom Unii Europejskiej, w tym Europejskiemu Bankowi Centralnemu, w celu uzyskania opinii, dokonania powiadomienia, konsultacji albo uzgodnienia, jeżeli obowiązek taki wynika z odrębnych przepisów</w:t>
      </w:r>
    </w:p>
    <w:p w14:paraId="02526316" w14:textId="6E3556A1" w:rsidR="006C1557" w:rsidRPr="006C1557" w:rsidRDefault="006C1557" w:rsidP="00C0453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szCs w:val="24"/>
        </w:rPr>
      </w:pPr>
      <w:r w:rsidRPr="006C1557">
        <w:rPr>
          <w:rFonts w:eastAsia="Times New Roman" w:cs="Times New Roman"/>
          <w:szCs w:val="24"/>
        </w:rPr>
        <w:t xml:space="preserve">Projekt rozporządzenia nie wymaga przedstawienia właściwym organom </w:t>
      </w:r>
      <w:r w:rsidR="00311878" w:rsidRPr="006C1557">
        <w:rPr>
          <w:rFonts w:eastAsia="Times New Roman" w:cs="Times New Roman"/>
          <w:szCs w:val="24"/>
        </w:rPr>
        <w:t xml:space="preserve">i instytucjom </w:t>
      </w:r>
      <w:r w:rsidRPr="006C1557">
        <w:rPr>
          <w:rFonts w:eastAsia="Times New Roman" w:cs="Times New Roman"/>
          <w:szCs w:val="24"/>
        </w:rPr>
        <w:t>Unii Europejskiej, w tym Europejskiemu Bankowi Centralnemu, w celu uzyskania opinii, dokonania powiadomienia, konsultacji albo uzgodnienia.</w:t>
      </w:r>
    </w:p>
    <w:p w14:paraId="57B3F923" w14:textId="77777777" w:rsidR="006C1557" w:rsidRPr="006C1557" w:rsidRDefault="006C1557" w:rsidP="001361D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b/>
          <w:szCs w:val="24"/>
        </w:rPr>
      </w:pPr>
      <w:r w:rsidRPr="006C1557">
        <w:rPr>
          <w:rFonts w:eastAsia="Times New Roman" w:cs="Times New Roman"/>
          <w:b/>
          <w:szCs w:val="24"/>
        </w:rPr>
        <w:t xml:space="preserve">V. </w:t>
      </w:r>
      <w:r w:rsidRPr="006C1557">
        <w:rPr>
          <w:rFonts w:eastAsia="Times New Roman" w:cs="Times New Roman"/>
          <w:b/>
          <w:szCs w:val="24"/>
        </w:rPr>
        <w:tab/>
        <w:t>Udostępnienie w Biuletynie Informacji Publicznej</w:t>
      </w:r>
    </w:p>
    <w:p w14:paraId="2E699FC3" w14:textId="327C0DD7" w:rsidR="006C1557" w:rsidRPr="006C1557" w:rsidRDefault="006C1557" w:rsidP="001361D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szCs w:val="24"/>
        </w:rPr>
      </w:pPr>
      <w:r w:rsidRPr="006C1557">
        <w:rPr>
          <w:rFonts w:eastAsia="Times New Roman" w:cs="Times New Roman"/>
          <w:szCs w:val="24"/>
        </w:rPr>
        <w:t>Stosownie do art. 5 ustawy z dnia 7 lipca 2005 r. o działalności lobbingowej w procesie stanowienia prawa (Dz. U. z 2017 r. poz. 248) oraz zgodnie z § 52 uchwały nr 190 Rady Ministrów z dnia 29 października 2013 r. – Regulamin pracy Rady Ministrów (M.P. z 2022 r. poz. 348), projekt rozporządzenia zostanie udostępniony w Biuletynie Informacji Publicznej na stronie podmiotowej Rządowego Centrum Legislacji w serwisie Rządowy Proces Legislacyjny, z dniem przekazania do uzgodnień i konsultacji publicznych.</w:t>
      </w:r>
    </w:p>
    <w:p w14:paraId="569DCBBB" w14:textId="77777777" w:rsidR="006C1557" w:rsidRPr="006C1557" w:rsidRDefault="006C1557" w:rsidP="001361D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b/>
          <w:szCs w:val="24"/>
        </w:rPr>
      </w:pPr>
      <w:r w:rsidRPr="006C1557">
        <w:rPr>
          <w:rFonts w:eastAsia="Times New Roman" w:cs="Times New Roman"/>
          <w:b/>
          <w:szCs w:val="24"/>
        </w:rPr>
        <w:t>VI.</w:t>
      </w:r>
      <w:r w:rsidRPr="006C1557">
        <w:rPr>
          <w:rFonts w:eastAsia="Times New Roman" w:cs="Times New Roman"/>
          <w:b/>
          <w:szCs w:val="24"/>
        </w:rPr>
        <w:tab/>
        <w:t>Ocena organu wnioskującego, czy projekt ten podlega notyfikacji zgodnie z przepisami dotyczącymi funkcjonowania krajowego systemu notyfikacji norm i aktów prawnych</w:t>
      </w:r>
    </w:p>
    <w:p w14:paraId="7E9DA0A4" w14:textId="45F7767A" w:rsidR="006C1557" w:rsidRPr="006C1557" w:rsidRDefault="006C1557" w:rsidP="00C0453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szCs w:val="24"/>
        </w:rPr>
      </w:pPr>
      <w:r w:rsidRPr="006C1557">
        <w:rPr>
          <w:rFonts w:eastAsia="Times New Roman" w:cs="Times New Roman"/>
          <w:szCs w:val="24"/>
        </w:rPr>
        <w:t xml:space="preserve">Regulacje zawarte w projektowanym rozporządzeniu nie stanowią przepisów technicznych w rozumieniu rozporządzenia Rady Ministrów z dnia 23 grudnia 2002 r. w sprawie sposobu </w:t>
      </w:r>
      <w:r w:rsidRPr="006C1557">
        <w:rPr>
          <w:rFonts w:eastAsia="Times New Roman" w:cs="Times New Roman"/>
          <w:szCs w:val="24"/>
        </w:rPr>
        <w:lastRenderedPageBreak/>
        <w:t>funkcjonowania krajowego systemu notyfikacji norm i aktów prawnych (Dz. U poz. 2039</w:t>
      </w:r>
      <w:r w:rsidR="00785CC2">
        <w:rPr>
          <w:rFonts w:eastAsia="Times New Roman" w:cs="Times New Roman"/>
          <w:szCs w:val="24"/>
        </w:rPr>
        <w:t xml:space="preserve">, z </w:t>
      </w:r>
      <w:proofErr w:type="spellStart"/>
      <w:r w:rsidR="00785CC2">
        <w:rPr>
          <w:rFonts w:eastAsia="Times New Roman" w:cs="Times New Roman"/>
          <w:szCs w:val="24"/>
        </w:rPr>
        <w:t>późn</w:t>
      </w:r>
      <w:proofErr w:type="spellEnd"/>
      <w:r w:rsidR="00785CC2">
        <w:rPr>
          <w:rFonts w:eastAsia="Times New Roman" w:cs="Times New Roman"/>
          <w:szCs w:val="24"/>
        </w:rPr>
        <w:t>. zm.</w:t>
      </w:r>
      <w:r w:rsidRPr="006C1557">
        <w:rPr>
          <w:rFonts w:eastAsia="Times New Roman" w:cs="Times New Roman"/>
          <w:szCs w:val="24"/>
        </w:rPr>
        <w:t>), zatem nie podlega ono notyfikacji.</w:t>
      </w:r>
    </w:p>
    <w:p w14:paraId="707BC3A9" w14:textId="1DE61A6B" w:rsidR="003E0897" w:rsidRPr="00C043D0" w:rsidRDefault="006C1557" w:rsidP="001361DB">
      <w:pPr>
        <w:widowControl/>
        <w:autoSpaceDE/>
        <w:autoSpaceDN/>
        <w:adjustRightInd/>
        <w:spacing w:before="120" w:after="120"/>
        <w:jc w:val="both"/>
        <w:rPr>
          <w:rFonts w:eastAsia="Times New Roman" w:cs="Times New Roman"/>
          <w:b/>
          <w:szCs w:val="24"/>
        </w:rPr>
      </w:pPr>
      <w:bookmarkStart w:id="3" w:name="_Hlk118714356"/>
      <w:r w:rsidRPr="006C1557">
        <w:rPr>
          <w:rFonts w:eastAsia="Times New Roman" w:cs="Times New Roman"/>
          <w:b/>
          <w:szCs w:val="24"/>
        </w:rPr>
        <w:t>VII.</w:t>
      </w:r>
      <w:r w:rsidRPr="006C1557">
        <w:rPr>
          <w:rFonts w:eastAsia="Times New Roman" w:cs="Times New Roman"/>
          <w:b/>
          <w:szCs w:val="24"/>
        </w:rPr>
        <w:tab/>
        <w:t xml:space="preserve">Oświadczenie </w:t>
      </w:r>
      <w:bookmarkEnd w:id="3"/>
      <w:r w:rsidRPr="006C1557">
        <w:rPr>
          <w:rFonts w:eastAsia="Times New Roman" w:cs="Times New Roman"/>
          <w:b/>
          <w:szCs w:val="24"/>
        </w:rPr>
        <w:t>organu wnioskującego co do zgodności projektu z prawem Unii Europejskiej</w:t>
      </w:r>
    </w:p>
    <w:p w14:paraId="6B7697A8" w14:textId="15CFBC3D" w:rsidR="00A742BF" w:rsidRDefault="00C722F1" w:rsidP="00C0453B">
      <w:pPr>
        <w:widowControl/>
        <w:suppressAutoHyphens/>
        <w:adjustRightInd/>
        <w:spacing w:before="120" w:after="120"/>
        <w:jc w:val="both"/>
        <w:textAlignment w:val="baseline"/>
      </w:pPr>
      <w:r>
        <w:rPr>
          <w:rFonts w:eastAsia="Times New Roman" w:cs="Times New Roman"/>
          <w:szCs w:val="24"/>
        </w:rPr>
        <w:t>Projekt</w:t>
      </w:r>
      <w:r w:rsidR="00E700EB" w:rsidRPr="00E700EB">
        <w:rPr>
          <w:rFonts w:eastAsia="Times New Roman" w:cs="Times New Roman"/>
          <w:szCs w:val="24"/>
        </w:rPr>
        <w:t xml:space="preserve"> </w:t>
      </w:r>
      <w:r w:rsidR="00156CF0" w:rsidRPr="00E313AD">
        <w:rPr>
          <w:rFonts w:eastAsia="Times New Roman" w:cs="Times New Roman"/>
          <w:szCs w:val="24"/>
        </w:rPr>
        <w:t>rozporządzenia jest zgodny z prawem Unii Europejskiej.</w:t>
      </w:r>
    </w:p>
    <w:sectPr w:rsidR="00A74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D10F1" w16cex:dateUtc="2023-01-26T13:4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D1C76"/>
    <w:multiLevelType w:val="hybridMultilevel"/>
    <w:tmpl w:val="DED4F1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544BC3"/>
    <w:multiLevelType w:val="hybridMultilevel"/>
    <w:tmpl w:val="B0FC3FA4"/>
    <w:lvl w:ilvl="0" w:tplc="B0DEA208">
      <w:start w:val="1"/>
      <w:numFmt w:val="decimal"/>
      <w:lvlText w:val="%1)"/>
      <w:lvlJc w:val="left"/>
      <w:pPr>
        <w:ind w:left="-2056" w:hanging="360"/>
      </w:pPr>
    </w:lvl>
    <w:lvl w:ilvl="1" w:tplc="04150019">
      <w:start w:val="1"/>
      <w:numFmt w:val="lowerLetter"/>
      <w:lvlText w:val="%2."/>
      <w:lvlJc w:val="left"/>
      <w:pPr>
        <w:ind w:left="-1336" w:hanging="360"/>
      </w:pPr>
    </w:lvl>
    <w:lvl w:ilvl="2" w:tplc="0415001B">
      <w:start w:val="1"/>
      <w:numFmt w:val="lowerRoman"/>
      <w:lvlText w:val="%3."/>
      <w:lvlJc w:val="right"/>
      <w:pPr>
        <w:ind w:left="-616" w:hanging="180"/>
      </w:pPr>
    </w:lvl>
    <w:lvl w:ilvl="3" w:tplc="0415000F">
      <w:start w:val="1"/>
      <w:numFmt w:val="decimal"/>
      <w:lvlText w:val="%4."/>
      <w:lvlJc w:val="left"/>
      <w:pPr>
        <w:ind w:left="104" w:hanging="360"/>
      </w:pPr>
    </w:lvl>
    <w:lvl w:ilvl="4" w:tplc="04150019">
      <w:start w:val="1"/>
      <w:numFmt w:val="lowerLetter"/>
      <w:lvlText w:val="%5."/>
      <w:lvlJc w:val="left"/>
      <w:pPr>
        <w:ind w:left="824" w:hanging="360"/>
      </w:pPr>
    </w:lvl>
    <w:lvl w:ilvl="5" w:tplc="0415001B">
      <w:start w:val="1"/>
      <w:numFmt w:val="lowerRoman"/>
      <w:lvlText w:val="%6."/>
      <w:lvlJc w:val="right"/>
      <w:pPr>
        <w:ind w:left="1544" w:hanging="180"/>
      </w:pPr>
    </w:lvl>
    <w:lvl w:ilvl="6" w:tplc="0415000F">
      <w:start w:val="1"/>
      <w:numFmt w:val="decimal"/>
      <w:lvlText w:val="%7."/>
      <w:lvlJc w:val="left"/>
      <w:pPr>
        <w:ind w:left="2264" w:hanging="360"/>
      </w:pPr>
    </w:lvl>
    <w:lvl w:ilvl="7" w:tplc="04150019">
      <w:start w:val="1"/>
      <w:numFmt w:val="lowerLetter"/>
      <w:lvlText w:val="%8."/>
      <w:lvlJc w:val="left"/>
      <w:pPr>
        <w:ind w:left="2984" w:hanging="360"/>
      </w:pPr>
    </w:lvl>
    <w:lvl w:ilvl="8" w:tplc="0415001B">
      <w:start w:val="1"/>
      <w:numFmt w:val="lowerRoman"/>
      <w:lvlText w:val="%9."/>
      <w:lvlJc w:val="right"/>
      <w:pPr>
        <w:ind w:left="3704" w:hanging="180"/>
      </w:pPr>
    </w:lvl>
  </w:abstractNum>
  <w:abstractNum w:abstractNumId="2" w15:restartNumberingAfterBreak="0">
    <w:nsid w:val="78146805"/>
    <w:multiLevelType w:val="hybridMultilevel"/>
    <w:tmpl w:val="B27E0806"/>
    <w:lvl w:ilvl="0" w:tplc="6A3CD8E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F0"/>
    <w:rsid w:val="00010DAA"/>
    <w:rsid w:val="000430E1"/>
    <w:rsid w:val="00044E01"/>
    <w:rsid w:val="000865B8"/>
    <w:rsid w:val="000B0232"/>
    <w:rsid w:val="000C776F"/>
    <w:rsid w:val="000D0804"/>
    <w:rsid w:val="000F3F57"/>
    <w:rsid w:val="00106605"/>
    <w:rsid w:val="00131C3A"/>
    <w:rsid w:val="00133698"/>
    <w:rsid w:val="001361DB"/>
    <w:rsid w:val="00156CF0"/>
    <w:rsid w:val="00162564"/>
    <w:rsid w:val="00163D2B"/>
    <w:rsid w:val="001679DC"/>
    <w:rsid w:val="001839A2"/>
    <w:rsid w:val="001D2C41"/>
    <w:rsid w:val="001E4790"/>
    <w:rsid w:val="00223113"/>
    <w:rsid w:val="00254DB8"/>
    <w:rsid w:val="002845EE"/>
    <w:rsid w:val="00290F9F"/>
    <w:rsid w:val="0029675F"/>
    <w:rsid w:val="002A6C44"/>
    <w:rsid w:val="002E162A"/>
    <w:rsid w:val="002E44EB"/>
    <w:rsid w:val="002F37D2"/>
    <w:rsid w:val="003023D9"/>
    <w:rsid w:val="00307E72"/>
    <w:rsid w:val="00311878"/>
    <w:rsid w:val="00313093"/>
    <w:rsid w:val="003153D2"/>
    <w:rsid w:val="0031770D"/>
    <w:rsid w:val="00317ADF"/>
    <w:rsid w:val="00321B6B"/>
    <w:rsid w:val="00322F26"/>
    <w:rsid w:val="00372734"/>
    <w:rsid w:val="00382336"/>
    <w:rsid w:val="0039610E"/>
    <w:rsid w:val="003D3CE9"/>
    <w:rsid w:val="003E0897"/>
    <w:rsid w:val="003E2E99"/>
    <w:rsid w:val="003F3C61"/>
    <w:rsid w:val="00437731"/>
    <w:rsid w:val="0046474B"/>
    <w:rsid w:val="004722AE"/>
    <w:rsid w:val="00482325"/>
    <w:rsid w:val="00493223"/>
    <w:rsid w:val="00496BEE"/>
    <w:rsid w:val="004B31D9"/>
    <w:rsid w:val="004C0014"/>
    <w:rsid w:val="004C2CFD"/>
    <w:rsid w:val="00515091"/>
    <w:rsid w:val="00515D22"/>
    <w:rsid w:val="005475AB"/>
    <w:rsid w:val="005666C0"/>
    <w:rsid w:val="00585794"/>
    <w:rsid w:val="005A67F7"/>
    <w:rsid w:val="005A703E"/>
    <w:rsid w:val="005B2DD0"/>
    <w:rsid w:val="005C0391"/>
    <w:rsid w:val="005D3FA5"/>
    <w:rsid w:val="005F37C7"/>
    <w:rsid w:val="00602360"/>
    <w:rsid w:val="00631610"/>
    <w:rsid w:val="00635833"/>
    <w:rsid w:val="00645F7B"/>
    <w:rsid w:val="006646E9"/>
    <w:rsid w:val="00667E9E"/>
    <w:rsid w:val="006C1557"/>
    <w:rsid w:val="006C6207"/>
    <w:rsid w:val="00700232"/>
    <w:rsid w:val="007079CD"/>
    <w:rsid w:val="0072461B"/>
    <w:rsid w:val="00736E4C"/>
    <w:rsid w:val="00744685"/>
    <w:rsid w:val="0075642E"/>
    <w:rsid w:val="00785CC2"/>
    <w:rsid w:val="007924B7"/>
    <w:rsid w:val="007B5544"/>
    <w:rsid w:val="007C5C01"/>
    <w:rsid w:val="007E7577"/>
    <w:rsid w:val="007F7DAA"/>
    <w:rsid w:val="00802D2B"/>
    <w:rsid w:val="00817A94"/>
    <w:rsid w:val="00854E97"/>
    <w:rsid w:val="00865112"/>
    <w:rsid w:val="008A76B1"/>
    <w:rsid w:val="008B0471"/>
    <w:rsid w:val="0090370F"/>
    <w:rsid w:val="009064A5"/>
    <w:rsid w:val="00911568"/>
    <w:rsid w:val="00912211"/>
    <w:rsid w:val="009423F2"/>
    <w:rsid w:val="00963047"/>
    <w:rsid w:val="0097344A"/>
    <w:rsid w:val="009A0A9F"/>
    <w:rsid w:val="009C2284"/>
    <w:rsid w:val="009C264E"/>
    <w:rsid w:val="009E4E09"/>
    <w:rsid w:val="00A027EE"/>
    <w:rsid w:val="00A04FB1"/>
    <w:rsid w:val="00A4477A"/>
    <w:rsid w:val="00A469CA"/>
    <w:rsid w:val="00A66184"/>
    <w:rsid w:val="00A72DD2"/>
    <w:rsid w:val="00A87DFD"/>
    <w:rsid w:val="00AC1DF2"/>
    <w:rsid w:val="00AC5D57"/>
    <w:rsid w:val="00AD11B0"/>
    <w:rsid w:val="00B0136D"/>
    <w:rsid w:val="00B0321D"/>
    <w:rsid w:val="00B14FAB"/>
    <w:rsid w:val="00B31A05"/>
    <w:rsid w:val="00B55017"/>
    <w:rsid w:val="00B61F9D"/>
    <w:rsid w:val="00B67318"/>
    <w:rsid w:val="00B90F56"/>
    <w:rsid w:val="00BD4174"/>
    <w:rsid w:val="00C043D0"/>
    <w:rsid w:val="00C0453B"/>
    <w:rsid w:val="00C06A56"/>
    <w:rsid w:val="00C368AE"/>
    <w:rsid w:val="00C54370"/>
    <w:rsid w:val="00C722F1"/>
    <w:rsid w:val="00C77132"/>
    <w:rsid w:val="00C83862"/>
    <w:rsid w:val="00C92146"/>
    <w:rsid w:val="00C945D3"/>
    <w:rsid w:val="00CA5237"/>
    <w:rsid w:val="00CB3C74"/>
    <w:rsid w:val="00CC3285"/>
    <w:rsid w:val="00CF179D"/>
    <w:rsid w:val="00CF2F57"/>
    <w:rsid w:val="00CF710B"/>
    <w:rsid w:val="00D009E4"/>
    <w:rsid w:val="00D03F8D"/>
    <w:rsid w:val="00D058AD"/>
    <w:rsid w:val="00D07FA2"/>
    <w:rsid w:val="00D55D13"/>
    <w:rsid w:val="00D6653D"/>
    <w:rsid w:val="00DB4DA5"/>
    <w:rsid w:val="00DC2BCE"/>
    <w:rsid w:val="00DD53E3"/>
    <w:rsid w:val="00DE4D5B"/>
    <w:rsid w:val="00DF1F49"/>
    <w:rsid w:val="00E105C2"/>
    <w:rsid w:val="00E2514F"/>
    <w:rsid w:val="00E27BB1"/>
    <w:rsid w:val="00E43207"/>
    <w:rsid w:val="00E700EB"/>
    <w:rsid w:val="00EC0DC9"/>
    <w:rsid w:val="00EE73B7"/>
    <w:rsid w:val="00EF3BA9"/>
    <w:rsid w:val="00EF3BD4"/>
    <w:rsid w:val="00EF4F01"/>
    <w:rsid w:val="00F02287"/>
    <w:rsid w:val="00F03B3F"/>
    <w:rsid w:val="00F32CFF"/>
    <w:rsid w:val="00F555BA"/>
    <w:rsid w:val="00F8198D"/>
    <w:rsid w:val="00F918D7"/>
    <w:rsid w:val="00FA2D2F"/>
    <w:rsid w:val="00FB4D8F"/>
    <w:rsid w:val="00FC3BB0"/>
    <w:rsid w:val="00FC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E4CA"/>
  <w15:docId w15:val="{E5AE21B6-9DC5-461A-9225-1D418A8B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CF0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85CC2"/>
    <w:pPr>
      <w:widowControl/>
      <w:autoSpaceDE/>
      <w:autoSpaceDN/>
      <w:adjustRightInd/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94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45D3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45D3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4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45D3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D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D3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ARTartustawynprozporzdzenia">
    <w:name w:val="ART(§) – art. ustawy (§ np. rozporządzenia)"/>
    <w:rsid w:val="00C945D3"/>
    <w:pPr>
      <w:suppressAutoHyphens/>
      <w:autoSpaceDE w:val="0"/>
      <w:autoSpaceDN w:val="0"/>
      <w:spacing w:before="120" w:after="0" w:line="360" w:lineRule="auto"/>
      <w:ind w:firstLine="510"/>
      <w:jc w:val="both"/>
      <w:textAlignment w:val="baseline"/>
    </w:pPr>
    <w:rPr>
      <w:rFonts w:ascii="Times" w:eastAsia="Times New Roman" w:hAnsi="Times" w:cs="Arial"/>
      <w:sz w:val="24"/>
      <w:szCs w:val="20"/>
      <w:lang w:eastAsia="pl-PL"/>
    </w:rPr>
  </w:style>
  <w:style w:type="paragraph" w:styleId="Poprawka">
    <w:name w:val="Revision"/>
    <w:hidden/>
    <w:uiPriority w:val="99"/>
    <w:semiHidden/>
    <w:rsid w:val="00B55017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markedcontent">
    <w:name w:val="markedcontent"/>
    <w:basedOn w:val="Domylnaczcionkaakapitu"/>
    <w:rsid w:val="00131C3A"/>
  </w:style>
  <w:style w:type="character" w:customStyle="1" w:styleId="Nagwek3Znak">
    <w:name w:val="Nagłówek 3 Znak"/>
    <w:basedOn w:val="Domylnaczcionkaakapitu"/>
    <w:link w:val="Nagwek3"/>
    <w:uiPriority w:val="9"/>
    <w:rsid w:val="00785CC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7C5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8/08/relationships/commentsExtensible" Target="commentsExtensib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Rudomino Agata</dc:creator>
  <cp:lastModifiedBy>Wiza Agnieszka</cp:lastModifiedBy>
  <cp:revision>5</cp:revision>
  <dcterms:created xsi:type="dcterms:W3CDTF">2023-03-27T08:56:00Z</dcterms:created>
  <dcterms:modified xsi:type="dcterms:W3CDTF">2023-04-13T07:27:00Z</dcterms:modified>
</cp:coreProperties>
</file>