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4F6" w:rsidRPr="005C28A9" w:rsidRDefault="00A474F6" w:rsidP="00EA48DE">
      <w:pPr>
        <w:pStyle w:val="TYTUAKTUprzedmiotregulacjiustawylubrozporzdzenia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E263AE" w:rsidRPr="0061703F" w:rsidRDefault="00E263AE" w:rsidP="005C28A9">
      <w:pPr>
        <w:keepNext/>
        <w:suppressAutoHyphens/>
        <w:autoSpaceDN w:val="0"/>
        <w:spacing w:after="240" w:line="276" w:lineRule="auto"/>
        <w:ind w:left="5670"/>
        <w:jc w:val="right"/>
        <w:textAlignment w:val="baseline"/>
      </w:pPr>
      <w:r w:rsidRPr="0061703F">
        <w:t>Załączniki do rozporządzenia Ministra Infrastruktury z dnia</w:t>
      </w:r>
      <w:r w:rsidR="00F35DF3" w:rsidRPr="0061703F">
        <w:t xml:space="preserve"> </w:t>
      </w:r>
      <w:r w:rsidRPr="0061703F">
        <w:t xml:space="preserve">…. </w:t>
      </w:r>
      <w:r w:rsidR="00183E3B" w:rsidRPr="0061703F">
        <w:t>(poz. …)</w:t>
      </w:r>
    </w:p>
    <w:p w:rsidR="00E266C3" w:rsidRPr="0061703F" w:rsidRDefault="00E266C3" w:rsidP="005C28A9">
      <w:pPr>
        <w:pStyle w:val="OZNZACZNIKAwskazanienrzacznika"/>
        <w:spacing w:line="276" w:lineRule="auto"/>
        <w:rPr>
          <w:rFonts w:cs="Times New Roman"/>
          <w:szCs w:val="24"/>
        </w:rPr>
      </w:pPr>
    </w:p>
    <w:p w:rsidR="00E266C3" w:rsidRPr="0061703F" w:rsidRDefault="00E266C3" w:rsidP="005C28A9">
      <w:pPr>
        <w:pStyle w:val="OZNZACZNIKAwskazanienrzacznika"/>
        <w:spacing w:line="276" w:lineRule="auto"/>
        <w:rPr>
          <w:rFonts w:cs="Times New Roman"/>
          <w:szCs w:val="24"/>
        </w:rPr>
      </w:pPr>
      <w:r w:rsidRPr="0061703F">
        <w:rPr>
          <w:rFonts w:cs="Times New Roman"/>
          <w:szCs w:val="24"/>
        </w:rPr>
        <w:t xml:space="preserve">Załącznik </w:t>
      </w:r>
      <w:r w:rsidR="00E263AE" w:rsidRPr="0061703F">
        <w:rPr>
          <w:rFonts w:cs="Times New Roman"/>
          <w:szCs w:val="24"/>
        </w:rPr>
        <w:t>nr 1</w:t>
      </w:r>
    </w:p>
    <w:p w:rsidR="00E266C3" w:rsidRPr="0061703F" w:rsidRDefault="00E266C3" w:rsidP="005C28A9">
      <w:pPr>
        <w:spacing w:line="276" w:lineRule="auto"/>
      </w:pPr>
    </w:p>
    <w:p w:rsidR="00E266C3" w:rsidRPr="0061703F" w:rsidRDefault="009F2604" w:rsidP="005C28A9">
      <w:pPr>
        <w:spacing w:line="276" w:lineRule="auto"/>
        <w:jc w:val="center"/>
      </w:pPr>
      <w:r w:rsidRPr="0061703F">
        <w:t xml:space="preserve">SZCZEGÓŁOWY ZAKRES KOSZTÓW </w:t>
      </w:r>
      <w:r w:rsidR="00090EB9">
        <w:t xml:space="preserve">TERMINALOWYCH </w:t>
      </w:r>
      <w:r w:rsidRPr="0061703F">
        <w:t>WEDŁUG RODZAJU</w:t>
      </w:r>
    </w:p>
    <w:p w:rsidR="001373AD" w:rsidRPr="0061703F" w:rsidRDefault="001373AD" w:rsidP="005C28A9">
      <w:pPr>
        <w:spacing w:line="276" w:lineRule="auto"/>
        <w:rPr>
          <w:b/>
        </w:rPr>
      </w:pPr>
    </w:p>
    <w:p w:rsidR="00E266C3" w:rsidRPr="0061703F" w:rsidRDefault="002E45F1" w:rsidP="005C28A9">
      <w:pPr>
        <w:spacing w:line="276" w:lineRule="auto"/>
      </w:pPr>
      <w:r>
        <w:t xml:space="preserve">1. </w:t>
      </w:r>
      <w:r w:rsidR="00A42452">
        <w:t>Do</w:t>
      </w:r>
      <w:r w:rsidR="00A42452" w:rsidRPr="0061703F">
        <w:t xml:space="preserve"> </w:t>
      </w:r>
      <w:r w:rsidR="001373AD" w:rsidRPr="0061703F">
        <w:t xml:space="preserve">kosztów operacyjnych </w:t>
      </w:r>
      <w:r w:rsidR="00A42452">
        <w:t xml:space="preserve">zalicza </w:t>
      </w:r>
      <w:r w:rsidR="0061703F">
        <w:t>się:</w:t>
      </w:r>
    </w:p>
    <w:p w:rsidR="001373AD" w:rsidRPr="0061703F" w:rsidRDefault="001373AD" w:rsidP="005C28A9">
      <w:pPr>
        <w:pStyle w:val="Akapitzlist"/>
        <w:spacing w:line="276" w:lineRule="auto"/>
        <w:rPr>
          <w:b/>
        </w:rPr>
      </w:pPr>
    </w:p>
    <w:p w:rsidR="00122657" w:rsidRPr="0061703F" w:rsidRDefault="001373AD" w:rsidP="00EC4281">
      <w:pPr>
        <w:pStyle w:val="Akapitzlist"/>
        <w:numPr>
          <w:ilvl w:val="0"/>
          <w:numId w:val="9"/>
        </w:numPr>
        <w:spacing w:line="276" w:lineRule="auto"/>
        <w:jc w:val="both"/>
      </w:pPr>
      <w:r w:rsidRPr="0061703F">
        <w:t>k</w:t>
      </w:r>
      <w:r w:rsidR="00E266C3" w:rsidRPr="0061703F">
        <w:t>oszty osobowe</w:t>
      </w:r>
      <w:r w:rsidRPr="0061703F">
        <w:t>,</w:t>
      </w:r>
      <w:r w:rsidR="00E266C3" w:rsidRPr="0061703F">
        <w:t xml:space="preserve"> obejmują</w:t>
      </w:r>
      <w:r w:rsidRPr="0061703F">
        <w:t>ce</w:t>
      </w:r>
      <w:r w:rsidR="00E266C3" w:rsidRPr="0061703F">
        <w:t xml:space="preserve"> </w:t>
      </w:r>
      <w:r w:rsidR="004A0618" w:rsidRPr="0061703F">
        <w:t>wynagrodzenia</w:t>
      </w:r>
      <w:r w:rsidR="006E73D5" w:rsidRPr="0061703F">
        <w:t xml:space="preserve">, </w:t>
      </w:r>
      <w:r w:rsidR="00A42452">
        <w:t xml:space="preserve">składki na </w:t>
      </w:r>
      <w:r w:rsidR="006E73D5" w:rsidRPr="0061703F">
        <w:t>ubezpieczenia społeczne</w:t>
      </w:r>
      <w:r w:rsidR="004A0618" w:rsidRPr="0061703F">
        <w:t xml:space="preserve"> </w:t>
      </w:r>
      <w:r w:rsidR="00A42452">
        <w:t>oraz</w:t>
      </w:r>
      <w:r w:rsidR="00A42452" w:rsidRPr="0061703F">
        <w:t xml:space="preserve"> </w:t>
      </w:r>
      <w:r w:rsidR="006E73D5" w:rsidRPr="0061703F">
        <w:t>inne</w:t>
      </w:r>
      <w:r w:rsidRPr="0061703F">
        <w:t xml:space="preserve"> </w:t>
      </w:r>
      <w:r w:rsidR="004A0618" w:rsidRPr="0061703F">
        <w:t>świadczenia na rzecz pracowników</w:t>
      </w:r>
      <w:r w:rsidRPr="0061703F">
        <w:t>;</w:t>
      </w:r>
      <w:r w:rsidR="004A0618" w:rsidRPr="0061703F">
        <w:t xml:space="preserve"> </w:t>
      </w:r>
    </w:p>
    <w:p w:rsidR="001373AD" w:rsidRPr="0061703F" w:rsidRDefault="001373AD" w:rsidP="00EC4281">
      <w:pPr>
        <w:pStyle w:val="Akapitzlist"/>
        <w:numPr>
          <w:ilvl w:val="0"/>
          <w:numId w:val="9"/>
        </w:numPr>
        <w:spacing w:line="276" w:lineRule="auto"/>
        <w:jc w:val="both"/>
      </w:pPr>
      <w:r w:rsidRPr="0061703F">
        <w:t xml:space="preserve">koszty amortyzacji, które </w:t>
      </w:r>
      <w:r w:rsidR="0061703F" w:rsidRPr="0061703F">
        <w:t xml:space="preserve">są </w:t>
      </w:r>
      <w:r w:rsidRPr="0061703F">
        <w:t>obliczane zgodnie z oczekiwanym okresem amortyzacji przy zastosowaniu metody liniowej, w oparciu o metodę kosztu historycznego;</w:t>
      </w:r>
    </w:p>
    <w:p w:rsidR="00122657" w:rsidRPr="0061703F" w:rsidRDefault="00A42452" w:rsidP="00EC4281">
      <w:pPr>
        <w:pStyle w:val="Akapitzlist"/>
        <w:numPr>
          <w:ilvl w:val="0"/>
          <w:numId w:val="9"/>
        </w:numPr>
        <w:spacing w:line="276" w:lineRule="auto"/>
        <w:jc w:val="both"/>
      </w:pPr>
      <w:r w:rsidRPr="0061703F">
        <w:t>pozostał</w:t>
      </w:r>
      <w:r>
        <w:t>e</w:t>
      </w:r>
      <w:r w:rsidRPr="0061703F">
        <w:t xml:space="preserve"> koszt</w:t>
      </w:r>
      <w:r>
        <w:t>y</w:t>
      </w:r>
      <w:r w:rsidRPr="0061703F">
        <w:t xml:space="preserve"> operacyjn</w:t>
      </w:r>
      <w:r>
        <w:t>e,</w:t>
      </w:r>
      <w:r w:rsidR="000E0758" w:rsidRPr="0061703F">
        <w:t xml:space="preserve"> inne</w:t>
      </w:r>
      <w:r w:rsidR="00EA48DE">
        <w:t xml:space="preserve"> koszty </w:t>
      </w:r>
      <w:r w:rsidR="000E0758" w:rsidRPr="0061703F">
        <w:t xml:space="preserve">niż </w:t>
      </w:r>
      <w:r w:rsidR="00EA48DE">
        <w:t xml:space="preserve">wymienione </w:t>
      </w:r>
      <w:r w:rsidR="000E0758" w:rsidRPr="0061703F">
        <w:t>w pkt 1</w:t>
      </w:r>
      <w:r w:rsidR="00150F5C" w:rsidRPr="0061703F">
        <w:t xml:space="preserve"> </w:t>
      </w:r>
      <w:r w:rsidR="000E0758" w:rsidRPr="0061703F">
        <w:t>i 2</w:t>
      </w:r>
      <w:r w:rsidR="001373AD" w:rsidRPr="0061703F">
        <w:t>, obejmujące</w:t>
      </w:r>
      <w:r w:rsidR="00E266C3" w:rsidRPr="0061703F">
        <w:t xml:space="preserve"> </w:t>
      </w:r>
      <w:r w:rsidR="00C34B07" w:rsidRPr="0061703F">
        <w:t>stratę ze zbycia niefinansowych aktywów trwałych, aktualizację wartości aktywów niefinansowych, inne koszty operacyjne</w:t>
      </w:r>
      <w:r w:rsidR="00011E59" w:rsidRPr="0061703F">
        <w:t>, w tym koszty zakupu usług obcych</w:t>
      </w:r>
      <w:r w:rsidR="006E73D5" w:rsidRPr="0061703F">
        <w:t xml:space="preserve"> oraz zużycia materiałów i energii</w:t>
      </w:r>
      <w:r w:rsidR="007F1DB4" w:rsidRPr="0061703F">
        <w:t>, podatki i opłaty</w:t>
      </w:r>
      <w:r w:rsidR="00C34B07" w:rsidRPr="0061703F">
        <w:t xml:space="preserve">. </w:t>
      </w:r>
    </w:p>
    <w:p w:rsidR="001373AD" w:rsidRPr="0061703F" w:rsidRDefault="001373AD" w:rsidP="005C28A9">
      <w:pPr>
        <w:pStyle w:val="Akapitzlist"/>
        <w:spacing w:line="276" w:lineRule="auto"/>
        <w:jc w:val="both"/>
      </w:pPr>
    </w:p>
    <w:p w:rsidR="00122657" w:rsidRPr="0061703F" w:rsidRDefault="002E45F1" w:rsidP="005C28A9">
      <w:pPr>
        <w:spacing w:line="276" w:lineRule="auto"/>
        <w:jc w:val="both"/>
      </w:pPr>
      <w:r>
        <w:t xml:space="preserve">2. </w:t>
      </w:r>
      <w:r w:rsidR="00E266C3" w:rsidRPr="0061703F">
        <w:t xml:space="preserve">Koszt kapitału </w:t>
      </w:r>
      <w:r w:rsidR="009D2745">
        <w:t xml:space="preserve">w danym roku </w:t>
      </w:r>
      <w:r w:rsidR="00E266C3" w:rsidRPr="0061703F">
        <w:t xml:space="preserve">oblicza </w:t>
      </w:r>
      <w:r w:rsidR="00C34B07" w:rsidRPr="0061703F">
        <w:t>się w odniesieniu do średniej księgowej wartości netto składników majątkowych, z początku i końca tego roku, wykorzystywanych przez instytucje, za które są pobierane opłaty</w:t>
      </w:r>
      <w:r w:rsidR="006E73D5" w:rsidRPr="0061703F">
        <w:t xml:space="preserve">, przy zastosowaniu </w:t>
      </w:r>
      <w:r w:rsidR="00374EB7" w:rsidRPr="0061703F">
        <w:t xml:space="preserve">średniego ważonego </w:t>
      </w:r>
      <w:r w:rsidR="00A06A71" w:rsidRPr="0061703F">
        <w:t xml:space="preserve">kosztu </w:t>
      </w:r>
      <w:r w:rsidR="006E73D5" w:rsidRPr="0061703F">
        <w:t>kapitału własnego oraz kapitału obcego</w:t>
      </w:r>
      <w:r w:rsidR="00C34B07" w:rsidRPr="0061703F">
        <w:t>.</w:t>
      </w:r>
    </w:p>
    <w:p w:rsidR="001373AD" w:rsidRPr="0061703F" w:rsidRDefault="001373AD" w:rsidP="005C28A9">
      <w:pPr>
        <w:spacing w:line="276" w:lineRule="auto"/>
        <w:jc w:val="both"/>
      </w:pPr>
    </w:p>
    <w:p w:rsidR="00122657" w:rsidRPr="0061703F" w:rsidRDefault="002E45F1" w:rsidP="005C28A9">
      <w:pPr>
        <w:spacing w:line="276" w:lineRule="auto"/>
        <w:jc w:val="both"/>
      </w:pPr>
      <w:r>
        <w:t xml:space="preserve">3. </w:t>
      </w:r>
      <w:r w:rsidR="00FF15F9" w:rsidRPr="0061703F">
        <w:t>Koszty wyjątkowe obejmują jednorazowe koszty związane z zapewnieniem służb żeglugi powietrznej.</w:t>
      </w:r>
    </w:p>
    <w:p w:rsidR="00E266C3" w:rsidRPr="0061703F" w:rsidRDefault="00E266C3" w:rsidP="005C28A9">
      <w:pPr>
        <w:spacing w:line="276" w:lineRule="auto"/>
      </w:pPr>
    </w:p>
    <w:p w:rsidR="00E266C3" w:rsidRPr="0061703F" w:rsidRDefault="00E266C3" w:rsidP="005C28A9">
      <w:pPr>
        <w:spacing w:line="276" w:lineRule="auto"/>
      </w:pPr>
    </w:p>
    <w:p w:rsidR="00E266C3" w:rsidRPr="0061703F" w:rsidRDefault="00E266C3" w:rsidP="005C28A9">
      <w:pPr>
        <w:spacing w:line="276" w:lineRule="auto"/>
      </w:pPr>
    </w:p>
    <w:p w:rsidR="00E266C3" w:rsidRPr="00EC4281" w:rsidRDefault="00E266C3" w:rsidP="005C28A9">
      <w:pPr>
        <w:pStyle w:val="OZNZACZNIKAwskazanienrzacznika"/>
        <w:spacing w:line="276" w:lineRule="auto"/>
        <w:rPr>
          <w:rFonts w:cs="Times New Roman"/>
          <w:szCs w:val="24"/>
        </w:rPr>
      </w:pPr>
      <w:r w:rsidRPr="0061703F">
        <w:rPr>
          <w:rFonts w:cs="Times New Roman"/>
          <w:b w:val="0"/>
          <w:szCs w:val="24"/>
        </w:rPr>
        <w:br w:type="page"/>
      </w:r>
      <w:r w:rsidRPr="00EC4281">
        <w:rPr>
          <w:rFonts w:cs="Times New Roman"/>
          <w:szCs w:val="24"/>
        </w:rPr>
        <w:lastRenderedPageBreak/>
        <w:t xml:space="preserve">Załącznik </w:t>
      </w:r>
      <w:r w:rsidR="00532D6C" w:rsidRPr="00EC4281">
        <w:rPr>
          <w:rFonts w:cs="Times New Roman"/>
          <w:szCs w:val="24"/>
        </w:rPr>
        <w:t>nr 2</w:t>
      </w:r>
    </w:p>
    <w:p w:rsidR="00E266C3" w:rsidRPr="005C28A9" w:rsidRDefault="00E266C3" w:rsidP="005C28A9">
      <w:pPr>
        <w:spacing w:line="276" w:lineRule="auto"/>
        <w:rPr>
          <w:sz w:val="22"/>
          <w:szCs w:val="22"/>
        </w:rPr>
      </w:pPr>
    </w:p>
    <w:p w:rsidR="0061703F" w:rsidRPr="0030612C" w:rsidRDefault="002E45F1" w:rsidP="005C28A9">
      <w:pPr>
        <w:pStyle w:val="TYTTABELItytutabeli"/>
        <w:spacing w:line="276" w:lineRule="auto"/>
        <w:rPr>
          <w:rFonts w:ascii="Times New Roman" w:hAnsi="Times New Roman" w:cs="Times New Roman"/>
          <w:b w:val="0"/>
        </w:rPr>
      </w:pPr>
      <w:r w:rsidRPr="0030612C">
        <w:rPr>
          <w:rFonts w:ascii="Times New Roman" w:hAnsi="Times New Roman" w:cs="Times New Roman"/>
          <w:b w:val="0"/>
        </w:rPr>
        <w:t>TABELE SPRAWOZDAWCZE</w:t>
      </w:r>
    </w:p>
    <w:p w:rsidR="002E45F1" w:rsidRPr="0030612C" w:rsidRDefault="002E45F1" w:rsidP="005C28A9">
      <w:pPr>
        <w:pStyle w:val="TYTTABELItytutabeli"/>
        <w:spacing w:line="276" w:lineRule="auto"/>
        <w:rPr>
          <w:rFonts w:ascii="Times New Roman" w:hAnsi="Times New Roman" w:cs="Times New Roman"/>
        </w:rPr>
      </w:pPr>
    </w:p>
    <w:p w:rsidR="00E266C3" w:rsidRPr="005C28A9" w:rsidRDefault="00E266C3" w:rsidP="004F31B1">
      <w:pPr>
        <w:pStyle w:val="TYTTABELItytutabeli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C28A9">
        <w:rPr>
          <w:rFonts w:ascii="Times New Roman" w:hAnsi="Times New Roman" w:cs="Times New Roman"/>
          <w:sz w:val="22"/>
          <w:szCs w:val="22"/>
        </w:rPr>
        <w:t>Tabela 1</w:t>
      </w:r>
      <w:r w:rsidR="0083028D">
        <w:rPr>
          <w:rFonts w:ascii="Times New Roman" w:hAnsi="Times New Roman" w:cs="Times New Roman"/>
          <w:sz w:val="22"/>
          <w:szCs w:val="22"/>
        </w:rPr>
        <w:t xml:space="preserve">. </w:t>
      </w:r>
      <w:r w:rsidRPr="005C28A9">
        <w:rPr>
          <w:rFonts w:ascii="Times New Roman" w:hAnsi="Times New Roman" w:cs="Times New Roman"/>
          <w:sz w:val="22"/>
          <w:szCs w:val="22"/>
        </w:rPr>
        <w:t>Koszty całkowite</w:t>
      </w:r>
    </w:p>
    <w:p w:rsidR="00E266C3" w:rsidRPr="005C28A9" w:rsidRDefault="00E266C3" w:rsidP="005C28A9">
      <w:pPr>
        <w:spacing w:line="276" w:lineRule="auto"/>
        <w:rPr>
          <w:sz w:val="22"/>
          <w:szCs w:val="22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282"/>
        <w:gridCol w:w="1291"/>
        <w:gridCol w:w="1264"/>
        <w:gridCol w:w="1280"/>
        <w:gridCol w:w="1138"/>
      </w:tblGrid>
      <w:tr w:rsidR="00794E3B" w:rsidRPr="005C28A9" w:rsidTr="002E3C7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3B" w:rsidRPr="005C28A9" w:rsidRDefault="00794E3B" w:rsidP="0030612C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3B" w:rsidRPr="005C28A9" w:rsidRDefault="00794E3B" w:rsidP="003061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(n-4</w:t>
            </w:r>
            <w:r w:rsidRPr="005C28A9">
              <w:rPr>
                <w:sz w:val="22"/>
                <w:szCs w:val="22"/>
              </w:rPr>
              <w:t>)</w:t>
            </w:r>
          </w:p>
          <w:p w:rsidR="00794E3B" w:rsidRPr="005C28A9" w:rsidRDefault="00794E3B" w:rsidP="0030612C">
            <w:pPr>
              <w:jc w:val="center"/>
              <w:rPr>
                <w:sz w:val="22"/>
                <w:szCs w:val="22"/>
              </w:rPr>
            </w:pPr>
            <w:r w:rsidRPr="005C28A9">
              <w:rPr>
                <w:sz w:val="22"/>
                <w:szCs w:val="22"/>
              </w:rPr>
              <w:t>Wykonanie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3B" w:rsidRPr="005C28A9" w:rsidRDefault="00794E3B" w:rsidP="003061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(n-3</w:t>
            </w:r>
            <w:r w:rsidRPr="005C28A9">
              <w:rPr>
                <w:sz w:val="22"/>
                <w:szCs w:val="22"/>
              </w:rPr>
              <w:t>)</w:t>
            </w:r>
          </w:p>
          <w:p w:rsidR="00794E3B" w:rsidRPr="005C28A9" w:rsidRDefault="00794E3B" w:rsidP="003061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5C28A9">
              <w:rPr>
                <w:sz w:val="22"/>
                <w:szCs w:val="22"/>
              </w:rPr>
              <w:t>yko</w:t>
            </w:r>
            <w:r>
              <w:rPr>
                <w:sz w:val="22"/>
                <w:szCs w:val="22"/>
              </w:rPr>
              <w:t>nanie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3B" w:rsidRPr="005C28A9" w:rsidRDefault="00794E3B" w:rsidP="0030612C">
            <w:pPr>
              <w:jc w:val="center"/>
              <w:rPr>
                <w:sz w:val="22"/>
                <w:szCs w:val="22"/>
              </w:rPr>
            </w:pPr>
            <w:r w:rsidRPr="005C28A9">
              <w:rPr>
                <w:sz w:val="22"/>
                <w:szCs w:val="22"/>
              </w:rPr>
              <w:t>(n-2)</w:t>
            </w:r>
          </w:p>
          <w:p w:rsidR="00794E3B" w:rsidRPr="005C28A9" w:rsidRDefault="00794E3B" w:rsidP="0030612C">
            <w:pPr>
              <w:jc w:val="center"/>
              <w:rPr>
                <w:sz w:val="22"/>
                <w:szCs w:val="22"/>
              </w:rPr>
            </w:pPr>
            <w:r w:rsidRPr="005C28A9">
              <w:rPr>
                <w:sz w:val="22"/>
                <w:szCs w:val="22"/>
              </w:rPr>
              <w:t>Wykonanie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E3B" w:rsidRPr="005C28A9" w:rsidRDefault="00794E3B" w:rsidP="0030612C">
            <w:pPr>
              <w:jc w:val="center"/>
              <w:rPr>
                <w:sz w:val="22"/>
                <w:szCs w:val="22"/>
              </w:rPr>
            </w:pPr>
            <w:r w:rsidRPr="005C28A9">
              <w:rPr>
                <w:sz w:val="22"/>
                <w:szCs w:val="22"/>
              </w:rPr>
              <w:t>(n-1)</w:t>
            </w:r>
          </w:p>
          <w:p w:rsidR="00794E3B" w:rsidRPr="005C28A9" w:rsidRDefault="00794E3B" w:rsidP="0030612C">
            <w:pPr>
              <w:jc w:val="center"/>
              <w:rPr>
                <w:sz w:val="22"/>
                <w:szCs w:val="22"/>
              </w:rPr>
            </w:pPr>
            <w:r w:rsidRPr="005C28A9">
              <w:rPr>
                <w:sz w:val="22"/>
                <w:szCs w:val="22"/>
              </w:rPr>
              <w:t>Prognoza wykonania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E3B" w:rsidRPr="005C28A9" w:rsidRDefault="00794E3B" w:rsidP="0030612C">
            <w:pPr>
              <w:jc w:val="center"/>
              <w:rPr>
                <w:sz w:val="22"/>
                <w:szCs w:val="22"/>
              </w:rPr>
            </w:pPr>
            <w:r w:rsidRPr="005C28A9">
              <w:rPr>
                <w:sz w:val="22"/>
                <w:szCs w:val="22"/>
              </w:rPr>
              <w:t>(n)</w:t>
            </w:r>
          </w:p>
          <w:p w:rsidR="00794E3B" w:rsidRPr="005C28A9" w:rsidRDefault="00794E3B" w:rsidP="0030612C">
            <w:pPr>
              <w:jc w:val="center"/>
              <w:rPr>
                <w:sz w:val="22"/>
                <w:szCs w:val="22"/>
              </w:rPr>
            </w:pPr>
            <w:r w:rsidRPr="005C28A9">
              <w:rPr>
                <w:sz w:val="22"/>
                <w:szCs w:val="22"/>
              </w:rPr>
              <w:t>Prognoza</w:t>
            </w:r>
          </w:p>
        </w:tc>
      </w:tr>
      <w:tr w:rsidR="00794E3B" w:rsidRPr="005C28A9" w:rsidTr="00EA48D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  <w:r w:rsidRPr="005C28A9">
              <w:rPr>
                <w:sz w:val="22"/>
                <w:szCs w:val="22"/>
              </w:rPr>
              <w:t>Koszty osobowe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94E3B" w:rsidRPr="005C28A9" w:rsidTr="00EA48D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  <w:r w:rsidRPr="005C28A9">
              <w:rPr>
                <w:sz w:val="22"/>
                <w:szCs w:val="22"/>
              </w:rPr>
              <w:t>Pozostała część kosztów operacyjnych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94E3B" w:rsidRPr="005C28A9" w:rsidTr="00EA48D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  <w:r w:rsidRPr="005C28A9">
              <w:rPr>
                <w:sz w:val="22"/>
                <w:szCs w:val="22"/>
              </w:rPr>
              <w:t>Amortyzacja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94E3B" w:rsidRPr="005C28A9" w:rsidTr="00EA48D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  <w:r w:rsidRPr="005C28A9">
              <w:rPr>
                <w:sz w:val="22"/>
                <w:szCs w:val="22"/>
              </w:rPr>
              <w:t>Koszt kapitału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94E3B" w:rsidRPr="005C28A9" w:rsidTr="00EA48D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  <w:r w:rsidRPr="005C28A9">
              <w:rPr>
                <w:sz w:val="22"/>
                <w:szCs w:val="22"/>
              </w:rPr>
              <w:t>Koszty</w:t>
            </w:r>
            <w:r w:rsidR="00823A2E">
              <w:rPr>
                <w:sz w:val="22"/>
                <w:szCs w:val="22"/>
              </w:rPr>
              <w:t xml:space="preserve"> wyjątkowe</w:t>
            </w:r>
            <w:r w:rsidRPr="005C28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94E3B" w:rsidRPr="005C28A9" w:rsidTr="00EA48D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  <w:r w:rsidRPr="005C28A9">
              <w:rPr>
                <w:b/>
                <w:sz w:val="22"/>
                <w:szCs w:val="22"/>
              </w:rPr>
              <w:t>Koszty całkowite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94E3B" w:rsidRPr="005C28A9" w:rsidTr="002E3C7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  <w:r w:rsidRPr="005C28A9">
              <w:rPr>
                <w:sz w:val="22"/>
                <w:szCs w:val="22"/>
              </w:rPr>
              <w:t>Zarządzanie ruchem lotniczym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94E3B" w:rsidRPr="005C28A9" w:rsidTr="002E3C7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  <w:r w:rsidRPr="005C28A9">
              <w:rPr>
                <w:sz w:val="22"/>
                <w:szCs w:val="22"/>
              </w:rPr>
              <w:t>Łączność, nawigacja i dozorowanie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94E3B" w:rsidRPr="005C28A9" w:rsidTr="002E3C7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3B" w:rsidRPr="005C28A9" w:rsidRDefault="00EA48DE" w:rsidP="00A424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794E3B">
              <w:rPr>
                <w:sz w:val="22"/>
                <w:szCs w:val="22"/>
              </w:rPr>
              <w:t>atownictwo</w:t>
            </w:r>
            <w:r>
              <w:rPr>
                <w:sz w:val="22"/>
                <w:szCs w:val="22"/>
              </w:rPr>
              <w:t xml:space="preserve"> i poszukiwanie</w:t>
            </w:r>
            <w:r w:rsidR="00794E3B" w:rsidRPr="005C28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94E3B" w:rsidRPr="005C28A9" w:rsidTr="002E3C7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  <w:r w:rsidRPr="005C28A9">
              <w:rPr>
                <w:sz w:val="22"/>
                <w:szCs w:val="22"/>
              </w:rPr>
              <w:t>Informacja lotnicza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94E3B" w:rsidRPr="005C28A9" w:rsidTr="002E3C7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  <w:r w:rsidRPr="005C28A9">
              <w:rPr>
                <w:sz w:val="22"/>
                <w:szCs w:val="22"/>
              </w:rPr>
              <w:t>Służby meteorologiczne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94E3B" w:rsidRPr="005C28A9" w:rsidTr="002E3C7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Koszty nadzoru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94E3B" w:rsidRPr="005C28A9" w:rsidTr="002E3C7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3B" w:rsidRPr="005C28A9" w:rsidRDefault="008154CF" w:rsidP="004B10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794E3B">
              <w:rPr>
                <w:sz w:val="22"/>
                <w:szCs w:val="22"/>
              </w:rPr>
              <w:t>oszty</w:t>
            </w:r>
            <w:r>
              <w:rPr>
                <w:sz w:val="22"/>
                <w:szCs w:val="22"/>
              </w:rPr>
              <w:t xml:space="preserve"> pozostałych służb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94E3B" w:rsidRPr="005C28A9" w:rsidTr="002E3C7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E3B" w:rsidRPr="005C28A9" w:rsidRDefault="00794E3B" w:rsidP="004B10F5">
            <w:pPr>
              <w:spacing w:line="276" w:lineRule="auto"/>
              <w:rPr>
                <w:b/>
                <w:sz w:val="22"/>
                <w:szCs w:val="22"/>
              </w:rPr>
            </w:pPr>
            <w:r w:rsidRPr="005C28A9">
              <w:rPr>
                <w:b/>
                <w:sz w:val="22"/>
                <w:szCs w:val="22"/>
              </w:rPr>
              <w:t>Koszty</w:t>
            </w:r>
            <w:r w:rsidR="0040403F">
              <w:rPr>
                <w:b/>
                <w:sz w:val="22"/>
                <w:szCs w:val="22"/>
              </w:rPr>
              <w:t xml:space="preserve"> terminalowe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3B" w:rsidRPr="005C28A9" w:rsidRDefault="00794E3B" w:rsidP="004B10F5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E266C3" w:rsidRPr="005C28A9" w:rsidRDefault="00E266C3" w:rsidP="005C28A9">
      <w:pPr>
        <w:spacing w:line="276" w:lineRule="auto"/>
        <w:rPr>
          <w:sz w:val="22"/>
          <w:szCs w:val="22"/>
        </w:rPr>
      </w:pPr>
    </w:p>
    <w:p w:rsidR="00E266C3" w:rsidRPr="005C28A9" w:rsidRDefault="00E266C3" w:rsidP="005C28A9">
      <w:pPr>
        <w:spacing w:line="276" w:lineRule="auto"/>
        <w:rPr>
          <w:sz w:val="22"/>
          <w:szCs w:val="22"/>
        </w:rPr>
      </w:pPr>
    </w:p>
    <w:p w:rsidR="0061703F" w:rsidRPr="0061703F" w:rsidRDefault="00E266C3" w:rsidP="0061703F">
      <w:pPr>
        <w:pStyle w:val="CZKSIGAoznaczenieiprzedmiotczcilubksigi"/>
        <w:spacing w:line="276" w:lineRule="auto"/>
        <w:rPr>
          <w:rFonts w:ascii="Times New Roman" w:hAnsi="Times New Roman"/>
          <w:sz w:val="22"/>
          <w:szCs w:val="22"/>
        </w:rPr>
      </w:pPr>
      <w:r w:rsidRPr="005C28A9">
        <w:rPr>
          <w:rFonts w:ascii="Times New Roman" w:hAnsi="Times New Roman"/>
          <w:sz w:val="22"/>
          <w:szCs w:val="22"/>
        </w:rPr>
        <w:t>Informacje dodatkowe do Tabeli 1</w:t>
      </w:r>
    </w:p>
    <w:p w:rsidR="00E266C3" w:rsidRPr="005C28A9" w:rsidRDefault="00E266C3" w:rsidP="005C28A9">
      <w:pPr>
        <w:pStyle w:val="CZWSPP1wTABELIczwsppoziomu1numeracjiwtabeli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C28A9">
        <w:rPr>
          <w:rFonts w:ascii="Times New Roman" w:hAnsi="Times New Roman" w:cs="Times New Roman"/>
          <w:sz w:val="22"/>
          <w:szCs w:val="22"/>
        </w:rPr>
        <w:t xml:space="preserve">Wraz z </w:t>
      </w:r>
      <w:r w:rsidR="00B30A97">
        <w:rPr>
          <w:rFonts w:ascii="Times New Roman" w:hAnsi="Times New Roman" w:cs="Times New Roman"/>
          <w:sz w:val="22"/>
          <w:szCs w:val="22"/>
        </w:rPr>
        <w:t>t</w:t>
      </w:r>
      <w:r w:rsidRPr="005C28A9">
        <w:rPr>
          <w:rFonts w:ascii="Times New Roman" w:hAnsi="Times New Roman" w:cs="Times New Roman"/>
          <w:sz w:val="22"/>
          <w:szCs w:val="22"/>
        </w:rPr>
        <w:t>abelą 1 instytucja zapewniająca służby ruchu lotniczego przekazuje informacje:</w:t>
      </w:r>
    </w:p>
    <w:p w:rsidR="00E266C3" w:rsidRPr="005C28A9" w:rsidRDefault="00E266C3" w:rsidP="0030612C">
      <w:pPr>
        <w:pStyle w:val="CZWSPP1wTABELIczwsppoziomu1numeracjiwtabeli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C28A9">
        <w:rPr>
          <w:rFonts w:ascii="Times New Roman" w:hAnsi="Times New Roman" w:cs="Times New Roman"/>
          <w:sz w:val="22"/>
          <w:szCs w:val="22"/>
        </w:rPr>
        <w:t>opis głównych założeń, w oparciu o które określono prognozowane koszty terminalowe dla każdego z rodzajów kosztów</w:t>
      </w:r>
      <w:r w:rsidR="0048693C" w:rsidRPr="005C28A9">
        <w:rPr>
          <w:rFonts w:ascii="Times New Roman" w:hAnsi="Times New Roman" w:cs="Times New Roman"/>
          <w:sz w:val="22"/>
          <w:szCs w:val="22"/>
        </w:rPr>
        <w:t>;</w:t>
      </w:r>
    </w:p>
    <w:p w:rsidR="008261CA" w:rsidRPr="005C28A9" w:rsidRDefault="004A0618" w:rsidP="0030612C">
      <w:pPr>
        <w:pStyle w:val="CZWSPP1wTABELIczwsppoziomu1numeracjiwtabeli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C28A9">
        <w:rPr>
          <w:rFonts w:ascii="Times New Roman" w:hAnsi="Times New Roman" w:cs="Times New Roman"/>
          <w:sz w:val="22"/>
          <w:szCs w:val="22"/>
        </w:rPr>
        <w:t xml:space="preserve">opis </w:t>
      </w:r>
      <w:r w:rsidR="008261CA" w:rsidRPr="005C28A9">
        <w:rPr>
          <w:rFonts w:ascii="Times New Roman" w:hAnsi="Times New Roman" w:cs="Times New Roman"/>
          <w:sz w:val="22"/>
          <w:szCs w:val="22"/>
        </w:rPr>
        <w:t>i wyjaśnienie m</w:t>
      </w:r>
      <w:r w:rsidRPr="005C28A9">
        <w:rPr>
          <w:rFonts w:ascii="Times New Roman" w:hAnsi="Times New Roman" w:cs="Times New Roman"/>
          <w:sz w:val="22"/>
          <w:szCs w:val="22"/>
        </w:rPr>
        <w:t>etody wykorzystywanej dla</w:t>
      </w:r>
      <w:r w:rsidR="008261CA" w:rsidRPr="005C28A9">
        <w:rPr>
          <w:rFonts w:ascii="Times New Roman" w:hAnsi="Times New Roman" w:cs="Times New Roman"/>
          <w:sz w:val="22"/>
          <w:szCs w:val="22"/>
        </w:rPr>
        <w:t xml:space="preserve"> obliczenia kosztów amortyzacji</w:t>
      </w:r>
      <w:r w:rsidR="0048693C" w:rsidRPr="005C28A9">
        <w:rPr>
          <w:rFonts w:ascii="Times New Roman" w:hAnsi="Times New Roman" w:cs="Times New Roman"/>
          <w:sz w:val="22"/>
          <w:szCs w:val="22"/>
        </w:rPr>
        <w:t>;</w:t>
      </w:r>
    </w:p>
    <w:p w:rsidR="00E266C3" w:rsidRPr="005C28A9" w:rsidRDefault="008261CA" w:rsidP="0030612C">
      <w:pPr>
        <w:pStyle w:val="CZWSPP1wTABELIczwsppoziomu1numeracjiwtabeli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C28A9">
        <w:rPr>
          <w:rFonts w:ascii="Times New Roman" w:hAnsi="Times New Roman" w:cs="Times New Roman"/>
          <w:sz w:val="22"/>
          <w:szCs w:val="22"/>
        </w:rPr>
        <w:t xml:space="preserve">uzasadnienie </w:t>
      </w:r>
      <w:r w:rsidR="00DD1AEF" w:rsidRPr="005C28A9">
        <w:rPr>
          <w:rFonts w:ascii="Times New Roman" w:hAnsi="Times New Roman" w:cs="Times New Roman"/>
          <w:sz w:val="22"/>
          <w:szCs w:val="22"/>
        </w:rPr>
        <w:t xml:space="preserve">dla przyjętej metodologii </w:t>
      </w:r>
      <w:r w:rsidRPr="005C28A9">
        <w:rPr>
          <w:rFonts w:ascii="Times New Roman" w:hAnsi="Times New Roman" w:cs="Times New Roman"/>
          <w:sz w:val="22"/>
          <w:szCs w:val="22"/>
        </w:rPr>
        <w:t>kosztu kapitału</w:t>
      </w:r>
      <w:r w:rsidR="00DD1AEF" w:rsidRPr="005C28A9">
        <w:rPr>
          <w:rFonts w:ascii="Times New Roman" w:hAnsi="Times New Roman" w:cs="Times New Roman"/>
          <w:sz w:val="22"/>
          <w:szCs w:val="22"/>
        </w:rPr>
        <w:t xml:space="preserve"> wraz z opisem metodologii</w:t>
      </w:r>
      <w:r w:rsidRPr="005C28A9">
        <w:rPr>
          <w:rFonts w:ascii="Times New Roman" w:hAnsi="Times New Roman" w:cs="Times New Roman"/>
          <w:sz w:val="22"/>
          <w:szCs w:val="22"/>
        </w:rPr>
        <w:t>.</w:t>
      </w:r>
    </w:p>
    <w:p w:rsidR="00E266C3" w:rsidRPr="005C28A9" w:rsidRDefault="00E266C3" w:rsidP="005C28A9">
      <w:pPr>
        <w:spacing w:line="276" w:lineRule="auto"/>
        <w:rPr>
          <w:sz w:val="22"/>
          <w:szCs w:val="22"/>
        </w:rPr>
      </w:pPr>
    </w:p>
    <w:p w:rsidR="0061703F" w:rsidRDefault="0061703F" w:rsidP="005C28A9">
      <w:pPr>
        <w:pStyle w:val="TYTTABELItytutabeli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61703F" w:rsidRDefault="0061703F" w:rsidP="005C28A9">
      <w:pPr>
        <w:pStyle w:val="TYTTABELItytutabeli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61703F" w:rsidRDefault="0061703F" w:rsidP="005C28A9">
      <w:pPr>
        <w:pStyle w:val="TYTTABELItytutabeli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61703F" w:rsidRDefault="0061703F" w:rsidP="005C28A9">
      <w:pPr>
        <w:pStyle w:val="TYTTABELItytutabeli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61703F" w:rsidRDefault="0061703F" w:rsidP="005C28A9">
      <w:pPr>
        <w:pStyle w:val="TYTTABELItytutabeli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61703F" w:rsidRDefault="0061703F" w:rsidP="005C28A9">
      <w:pPr>
        <w:pStyle w:val="TYTTABELItytutabeli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E266C3" w:rsidRPr="005C28A9" w:rsidRDefault="0061703F" w:rsidP="004F31B1">
      <w:pPr>
        <w:pStyle w:val="TYTTABELItytutabeli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  <w:r w:rsidR="00E266C3" w:rsidRPr="005C28A9">
        <w:rPr>
          <w:rFonts w:ascii="Times New Roman" w:hAnsi="Times New Roman" w:cs="Times New Roman"/>
          <w:sz w:val="22"/>
          <w:szCs w:val="22"/>
        </w:rPr>
        <w:lastRenderedPageBreak/>
        <w:t>Tabela 2</w:t>
      </w:r>
      <w:r w:rsidR="0083028D">
        <w:rPr>
          <w:rFonts w:ascii="Times New Roman" w:hAnsi="Times New Roman" w:cs="Times New Roman"/>
          <w:sz w:val="22"/>
          <w:szCs w:val="22"/>
        </w:rPr>
        <w:t xml:space="preserve">. </w:t>
      </w:r>
      <w:r w:rsidR="00E266C3" w:rsidRPr="005C28A9">
        <w:rPr>
          <w:rFonts w:ascii="Times New Roman" w:hAnsi="Times New Roman" w:cs="Times New Roman"/>
          <w:sz w:val="22"/>
          <w:szCs w:val="22"/>
        </w:rPr>
        <w:t>Obliczanie stawki</w:t>
      </w:r>
    </w:p>
    <w:p w:rsidR="00E266C3" w:rsidRPr="005C28A9" w:rsidRDefault="00E266C3" w:rsidP="005C28A9">
      <w:pPr>
        <w:spacing w:line="276" w:lineRule="auto"/>
        <w:rPr>
          <w:sz w:val="22"/>
          <w:szCs w:val="22"/>
        </w:rPr>
      </w:pPr>
    </w:p>
    <w:tbl>
      <w:tblPr>
        <w:tblW w:w="48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3"/>
        <w:gridCol w:w="1276"/>
        <w:gridCol w:w="1277"/>
        <w:gridCol w:w="1276"/>
        <w:gridCol w:w="1274"/>
        <w:gridCol w:w="1136"/>
      </w:tblGrid>
      <w:tr w:rsidR="00597EB0" w:rsidRPr="005C28A9" w:rsidTr="002E3C76"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B0" w:rsidRPr="005C28A9" w:rsidRDefault="00597EB0" w:rsidP="004B10F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B0" w:rsidRPr="005C28A9" w:rsidRDefault="00597EB0" w:rsidP="005A7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(n-4</w:t>
            </w:r>
            <w:r w:rsidRPr="005C28A9">
              <w:rPr>
                <w:sz w:val="22"/>
                <w:szCs w:val="22"/>
              </w:rPr>
              <w:t>)</w:t>
            </w:r>
          </w:p>
          <w:p w:rsidR="00597EB0" w:rsidRPr="005C28A9" w:rsidRDefault="00597EB0" w:rsidP="005A7D2F">
            <w:pPr>
              <w:jc w:val="center"/>
              <w:rPr>
                <w:sz w:val="22"/>
                <w:szCs w:val="22"/>
              </w:rPr>
            </w:pPr>
            <w:r w:rsidRPr="005C28A9">
              <w:rPr>
                <w:sz w:val="22"/>
                <w:szCs w:val="22"/>
              </w:rPr>
              <w:t>Wykonanie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B0" w:rsidRPr="005C28A9" w:rsidRDefault="00597EB0" w:rsidP="005A7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(n-3</w:t>
            </w:r>
            <w:r w:rsidRPr="005C28A9">
              <w:rPr>
                <w:sz w:val="22"/>
                <w:szCs w:val="22"/>
              </w:rPr>
              <w:t>)</w:t>
            </w:r>
          </w:p>
          <w:p w:rsidR="00597EB0" w:rsidRPr="005C28A9" w:rsidRDefault="00597EB0" w:rsidP="005A7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5C28A9">
              <w:rPr>
                <w:sz w:val="22"/>
                <w:szCs w:val="22"/>
              </w:rPr>
              <w:t>yko</w:t>
            </w:r>
            <w:r>
              <w:rPr>
                <w:sz w:val="22"/>
                <w:szCs w:val="22"/>
              </w:rPr>
              <w:t>nanie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B0" w:rsidRPr="005C28A9" w:rsidRDefault="00597EB0" w:rsidP="005A7D2F">
            <w:pPr>
              <w:jc w:val="center"/>
              <w:rPr>
                <w:sz w:val="22"/>
                <w:szCs w:val="22"/>
              </w:rPr>
            </w:pPr>
            <w:r w:rsidRPr="005C28A9">
              <w:rPr>
                <w:sz w:val="22"/>
                <w:szCs w:val="22"/>
              </w:rPr>
              <w:t>(n-2)</w:t>
            </w:r>
          </w:p>
          <w:p w:rsidR="00597EB0" w:rsidRPr="005C28A9" w:rsidRDefault="00597EB0" w:rsidP="005A7D2F">
            <w:pPr>
              <w:jc w:val="center"/>
              <w:rPr>
                <w:sz w:val="22"/>
                <w:szCs w:val="22"/>
              </w:rPr>
            </w:pPr>
            <w:r w:rsidRPr="005C28A9">
              <w:rPr>
                <w:sz w:val="22"/>
                <w:szCs w:val="22"/>
              </w:rPr>
              <w:t>Wykonanie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EB0" w:rsidRPr="005C28A9" w:rsidRDefault="00597EB0" w:rsidP="005A7D2F">
            <w:pPr>
              <w:jc w:val="center"/>
              <w:rPr>
                <w:sz w:val="22"/>
                <w:szCs w:val="22"/>
              </w:rPr>
            </w:pPr>
            <w:r w:rsidRPr="005C28A9">
              <w:rPr>
                <w:sz w:val="22"/>
                <w:szCs w:val="22"/>
              </w:rPr>
              <w:t>(n-1)</w:t>
            </w:r>
          </w:p>
          <w:p w:rsidR="00597EB0" w:rsidRPr="005C28A9" w:rsidRDefault="00597EB0" w:rsidP="005A7D2F">
            <w:pPr>
              <w:jc w:val="center"/>
              <w:rPr>
                <w:sz w:val="22"/>
                <w:szCs w:val="22"/>
              </w:rPr>
            </w:pPr>
            <w:r w:rsidRPr="005C28A9">
              <w:rPr>
                <w:sz w:val="22"/>
                <w:szCs w:val="22"/>
              </w:rPr>
              <w:t>Prognoza wykonania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EB0" w:rsidRPr="006239D3" w:rsidRDefault="00597EB0" w:rsidP="005A7D2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5C28A9">
              <w:rPr>
                <w:sz w:val="22"/>
                <w:szCs w:val="22"/>
              </w:rPr>
              <w:t>(n)</w:t>
            </w:r>
          </w:p>
          <w:p w:rsidR="00597EB0" w:rsidRPr="005C28A9" w:rsidRDefault="00597EB0" w:rsidP="005A7D2F">
            <w:pPr>
              <w:jc w:val="center"/>
              <w:rPr>
                <w:sz w:val="22"/>
                <w:szCs w:val="22"/>
              </w:rPr>
            </w:pPr>
            <w:r w:rsidRPr="005C28A9">
              <w:rPr>
                <w:sz w:val="22"/>
                <w:szCs w:val="22"/>
              </w:rPr>
              <w:t>Prognoza</w:t>
            </w:r>
          </w:p>
        </w:tc>
      </w:tr>
      <w:tr w:rsidR="00597EB0" w:rsidRPr="005C28A9" w:rsidTr="002E3C76"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B0" w:rsidRPr="005C28A9" w:rsidRDefault="00597EB0" w:rsidP="005A7D2F">
            <w:pPr>
              <w:rPr>
                <w:sz w:val="22"/>
                <w:szCs w:val="22"/>
              </w:rPr>
            </w:pPr>
            <w:r w:rsidRPr="005C28A9">
              <w:rPr>
                <w:sz w:val="22"/>
                <w:szCs w:val="22"/>
              </w:rPr>
              <w:t>Koszty całkowite (1)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B0" w:rsidRPr="005C28A9" w:rsidRDefault="00597EB0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B0" w:rsidRPr="005C28A9" w:rsidRDefault="00597EB0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B0" w:rsidRPr="005C28A9" w:rsidRDefault="00597EB0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B0" w:rsidRPr="005C28A9" w:rsidRDefault="00597EB0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B0" w:rsidRPr="005C28A9" w:rsidRDefault="00597EB0" w:rsidP="004B10F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97EB0" w:rsidRPr="005C28A9" w:rsidTr="002E3C76"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B0" w:rsidRPr="005C28A9" w:rsidRDefault="00597EB0" w:rsidP="005A7D2F">
            <w:pPr>
              <w:rPr>
                <w:sz w:val="22"/>
                <w:szCs w:val="22"/>
              </w:rPr>
            </w:pPr>
            <w:r w:rsidRPr="005C28A9">
              <w:rPr>
                <w:sz w:val="22"/>
                <w:szCs w:val="22"/>
              </w:rPr>
              <w:t>Koszty lotów objętych zwolnieniem</w:t>
            </w:r>
            <w:r>
              <w:rPr>
                <w:sz w:val="22"/>
                <w:szCs w:val="22"/>
              </w:rPr>
              <w:t xml:space="preserve"> z opłat nawigacyjnych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B0" w:rsidRPr="005C28A9" w:rsidRDefault="00597EB0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B0" w:rsidRPr="005C28A9" w:rsidRDefault="00597EB0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B0" w:rsidRPr="005C28A9" w:rsidRDefault="00597EB0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B0" w:rsidRPr="005C28A9" w:rsidRDefault="00597EB0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B0" w:rsidRPr="005C28A9" w:rsidRDefault="00597EB0" w:rsidP="004B10F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97EB0" w:rsidRPr="005C28A9" w:rsidTr="002E3C76"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B0" w:rsidRPr="005C28A9" w:rsidRDefault="00597EB0" w:rsidP="005A7D2F">
            <w:pPr>
              <w:rPr>
                <w:sz w:val="22"/>
                <w:szCs w:val="22"/>
              </w:rPr>
            </w:pPr>
            <w:r w:rsidRPr="005C28A9">
              <w:rPr>
                <w:sz w:val="22"/>
                <w:szCs w:val="22"/>
              </w:rPr>
              <w:t xml:space="preserve">Koszty lotów </w:t>
            </w:r>
            <w:r>
              <w:rPr>
                <w:sz w:val="22"/>
                <w:szCs w:val="22"/>
              </w:rPr>
              <w:t>wykonywanych zgodnie z przepisami dla lotów z widocznością (</w:t>
            </w:r>
            <w:r w:rsidRPr="005C28A9">
              <w:rPr>
                <w:sz w:val="22"/>
                <w:szCs w:val="22"/>
              </w:rPr>
              <w:t>VFR</w:t>
            </w:r>
            <w:r>
              <w:rPr>
                <w:sz w:val="22"/>
                <w:szCs w:val="22"/>
              </w:rPr>
              <w:t xml:space="preserve"> – Visual Flight Rules)</w:t>
            </w:r>
            <w:r w:rsidRPr="005C28A9">
              <w:rPr>
                <w:sz w:val="22"/>
                <w:szCs w:val="22"/>
              </w:rPr>
              <w:t xml:space="preserve"> objętych zwolnieniem</w:t>
            </w:r>
            <w:r>
              <w:rPr>
                <w:sz w:val="22"/>
                <w:szCs w:val="22"/>
              </w:rPr>
              <w:t xml:space="preserve"> z opłat nawigacyjnych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B0" w:rsidRPr="005C28A9" w:rsidRDefault="00597EB0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B0" w:rsidRPr="005C28A9" w:rsidRDefault="00597EB0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B0" w:rsidRPr="005C28A9" w:rsidRDefault="00597EB0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B0" w:rsidRPr="005C28A9" w:rsidRDefault="00597EB0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B0" w:rsidRPr="005C28A9" w:rsidRDefault="00597EB0" w:rsidP="004B10F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97EB0" w:rsidRPr="005C28A9" w:rsidTr="002E3C76"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B0" w:rsidRPr="005C28A9" w:rsidRDefault="00597EB0" w:rsidP="00EB5EC6">
            <w:pPr>
              <w:rPr>
                <w:sz w:val="22"/>
                <w:szCs w:val="22"/>
              </w:rPr>
            </w:pPr>
            <w:r w:rsidRPr="005C28A9">
              <w:rPr>
                <w:sz w:val="22"/>
                <w:szCs w:val="22"/>
              </w:rPr>
              <w:t xml:space="preserve">Koszty lotów </w:t>
            </w:r>
            <w:r>
              <w:rPr>
                <w:sz w:val="22"/>
                <w:szCs w:val="22"/>
              </w:rPr>
              <w:t>wykonywanych zgodnie z przepisami dla lotów według wskazań przyrządów (</w:t>
            </w:r>
            <w:r w:rsidRPr="005C28A9">
              <w:rPr>
                <w:sz w:val="22"/>
                <w:szCs w:val="22"/>
              </w:rPr>
              <w:t xml:space="preserve">IFR </w:t>
            </w:r>
            <w:r>
              <w:rPr>
                <w:sz w:val="22"/>
                <w:szCs w:val="22"/>
              </w:rPr>
              <w:t xml:space="preserve">– Instrument Flight Rules) </w:t>
            </w:r>
            <w:r w:rsidRPr="005C28A9">
              <w:rPr>
                <w:sz w:val="22"/>
                <w:szCs w:val="22"/>
              </w:rPr>
              <w:t>objętych zwolnieniem</w:t>
            </w:r>
            <w:r>
              <w:rPr>
                <w:sz w:val="22"/>
                <w:szCs w:val="22"/>
              </w:rPr>
              <w:t xml:space="preserve"> z opłat nawigacyjnych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B0" w:rsidRPr="005C28A9" w:rsidRDefault="00597EB0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B0" w:rsidRPr="005C28A9" w:rsidRDefault="00597EB0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B0" w:rsidRPr="005C28A9" w:rsidRDefault="00597EB0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B0" w:rsidRPr="005C28A9" w:rsidRDefault="00597EB0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B0" w:rsidRPr="005C28A9" w:rsidRDefault="00597EB0" w:rsidP="004B10F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97EB0" w:rsidRPr="005C28A9" w:rsidTr="002E3C76"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B0" w:rsidRPr="005C28A9" w:rsidRDefault="00A77F99" w:rsidP="005A7D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Saldo</w:t>
            </w:r>
            <w:r w:rsidRPr="005C28A9">
              <w:rPr>
                <w:sz w:val="22"/>
                <w:szCs w:val="22"/>
              </w:rPr>
              <w:t xml:space="preserve"> </w:t>
            </w:r>
            <w:r w:rsidR="00597EB0" w:rsidRPr="005C28A9">
              <w:rPr>
                <w:sz w:val="22"/>
                <w:szCs w:val="22"/>
              </w:rPr>
              <w:t>przeniesione na</w:t>
            </w:r>
            <w:r>
              <w:rPr>
                <w:sz w:val="22"/>
                <w:szCs w:val="22"/>
              </w:rPr>
              <w:t xml:space="preserve"> dany</w:t>
            </w:r>
            <w:r w:rsidR="00597EB0" w:rsidRPr="005C28A9">
              <w:rPr>
                <w:sz w:val="22"/>
                <w:szCs w:val="22"/>
              </w:rPr>
              <w:t xml:space="preserve"> rok (n)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B0" w:rsidRPr="005C28A9" w:rsidRDefault="00597EB0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B0" w:rsidRPr="005C28A9" w:rsidRDefault="00597EB0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B0" w:rsidRPr="005C28A9" w:rsidRDefault="00597EB0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B0" w:rsidRPr="005C28A9" w:rsidRDefault="00597EB0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B0" w:rsidRPr="005C28A9" w:rsidRDefault="00597EB0" w:rsidP="004B10F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97EB0" w:rsidRPr="005C28A9" w:rsidTr="002E3C76"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B0" w:rsidRPr="005C28A9" w:rsidRDefault="00597EB0" w:rsidP="005A7D2F">
            <w:pPr>
              <w:rPr>
                <w:sz w:val="22"/>
                <w:szCs w:val="22"/>
              </w:rPr>
            </w:pPr>
            <w:r w:rsidRPr="005C28A9">
              <w:rPr>
                <w:sz w:val="22"/>
                <w:szCs w:val="22"/>
              </w:rPr>
              <w:t>Koszty objęte opłatami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B0" w:rsidRPr="005C28A9" w:rsidRDefault="00597EB0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B0" w:rsidRPr="005C28A9" w:rsidRDefault="00597EB0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B0" w:rsidRPr="005C28A9" w:rsidRDefault="00597EB0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B0" w:rsidRPr="005C28A9" w:rsidRDefault="00597EB0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B0" w:rsidRPr="005C28A9" w:rsidRDefault="00597EB0" w:rsidP="004B10F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97EB0" w:rsidRPr="005C28A9" w:rsidTr="002E3C76"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B0" w:rsidRPr="005C28A9" w:rsidRDefault="00597EB0" w:rsidP="005A7D2F">
            <w:pPr>
              <w:rPr>
                <w:sz w:val="22"/>
                <w:szCs w:val="22"/>
              </w:rPr>
            </w:pPr>
            <w:r w:rsidRPr="005C28A9">
              <w:rPr>
                <w:sz w:val="22"/>
                <w:szCs w:val="22"/>
              </w:rPr>
              <w:t>Jednostki usługowe ogółem</w:t>
            </w:r>
            <w:r w:rsidR="00F40DDF">
              <w:rPr>
                <w:sz w:val="22"/>
                <w:szCs w:val="22"/>
              </w:rPr>
              <w:t xml:space="preserve"> (IFR</w:t>
            </w:r>
            <w:r w:rsidR="00BB61FF">
              <w:t xml:space="preserve"> </w:t>
            </w:r>
            <w:r w:rsidR="00BB61FF" w:rsidRPr="00BB61FF">
              <w:t>–</w:t>
            </w:r>
            <w:r w:rsidR="00BB61FF">
              <w:t xml:space="preserve"> </w:t>
            </w:r>
            <w:r w:rsidR="00BB61FF" w:rsidRPr="00BB61FF">
              <w:rPr>
                <w:sz w:val="22"/>
                <w:szCs w:val="22"/>
              </w:rPr>
              <w:t>Instrument Flight Rules</w:t>
            </w:r>
            <w:r w:rsidR="00F40DDF">
              <w:rPr>
                <w:sz w:val="22"/>
                <w:szCs w:val="22"/>
              </w:rPr>
              <w:t>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B0" w:rsidRPr="005C28A9" w:rsidRDefault="00597EB0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B0" w:rsidRPr="005C28A9" w:rsidRDefault="00597EB0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B0" w:rsidRPr="005C28A9" w:rsidRDefault="00597EB0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B0" w:rsidRPr="005C28A9" w:rsidRDefault="00597EB0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B0" w:rsidRPr="005C28A9" w:rsidRDefault="00597EB0" w:rsidP="004B10F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97EB0" w:rsidRPr="005C28A9" w:rsidTr="002E3C76"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B0" w:rsidRPr="005C28A9" w:rsidRDefault="00597EB0" w:rsidP="005A7D2F">
            <w:pPr>
              <w:rPr>
                <w:sz w:val="22"/>
                <w:szCs w:val="22"/>
              </w:rPr>
            </w:pPr>
            <w:r w:rsidRPr="005C28A9">
              <w:rPr>
                <w:sz w:val="22"/>
                <w:szCs w:val="22"/>
              </w:rPr>
              <w:t>Jednostki usługowe objęte opłatami</w:t>
            </w:r>
            <w:r w:rsidR="00F40DDF">
              <w:rPr>
                <w:sz w:val="22"/>
                <w:szCs w:val="22"/>
              </w:rPr>
              <w:t xml:space="preserve"> (IFR</w:t>
            </w:r>
            <w:r w:rsidR="00BB61FF">
              <w:rPr>
                <w:sz w:val="22"/>
                <w:szCs w:val="22"/>
              </w:rPr>
              <w:t xml:space="preserve"> – Instrument Flight Rules</w:t>
            </w:r>
            <w:r w:rsidR="00F40DDF">
              <w:rPr>
                <w:sz w:val="22"/>
                <w:szCs w:val="22"/>
              </w:rPr>
              <w:t>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B0" w:rsidRPr="005C28A9" w:rsidRDefault="00597EB0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B0" w:rsidRPr="005C28A9" w:rsidRDefault="00597EB0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B0" w:rsidRPr="005C28A9" w:rsidRDefault="00597EB0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B0" w:rsidRPr="005C28A9" w:rsidRDefault="00597EB0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B0" w:rsidRPr="005C28A9" w:rsidRDefault="00597EB0" w:rsidP="004B10F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97EB0" w:rsidRPr="005C28A9" w:rsidTr="002E3C76"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B0" w:rsidRPr="005C28A9" w:rsidRDefault="00597EB0" w:rsidP="004B10F5">
            <w:pPr>
              <w:spacing w:line="276" w:lineRule="auto"/>
              <w:rPr>
                <w:sz w:val="22"/>
                <w:szCs w:val="22"/>
              </w:rPr>
            </w:pPr>
            <w:r w:rsidRPr="005C28A9">
              <w:rPr>
                <w:sz w:val="22"/>
                <w:szCs w:val="22"/>
              </w:rPr>
              <w:t>Stawka (2)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B0" w:rsidRPr="005C28A9" w:rsidRDefault="00597EB0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B0" w:rsidRPr="005C28A9" w:rsidRDefault="00597EB0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B0" w:rsidRPr="005C28A9" w:rsidRDefault="00597EB0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B0" w:rsidRPr="005C28A9" w:rsidRDefault="00597EB0" w:rsidP="004B10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B0" w:rsidRPr="005C28A9" w:rsidRDefault="00597EB0" w:rsidP="004B10F5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E266C3" w:rsidRPr="005C28A9" w:rsidRDefault="00E266C3" w:rsidP="005C28A9">
      <w:pPr>
        <w:spacing w:line="276" w:lineRule="auto"/>
        <w:rPr>
          <w:sz w:val="22"/>
          <w:szCs w:val="22"/>
        </w:rPr>
      </w:pPr>
    </w:p>
    <w:p w:rsidR="008531C0" w:rsidRDefault="008531C0" w:rsidP="005A7D2F">
      <w:pPr>
        <w:pStyle w:val="P1wTABELIpoziom1numeracjiwtabeli"/>
        <w:spacing w:line="276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(n)</w:t>
      </w:r>
      <w:r w:rsidRPr="008531C0">
        <w:t xml:space="preserve"> </w:t>
      </w:r>
      <w:r>
        <w:t>R</w:t>
      </w:r>
      <w:r w:rsidRPr="008531C0">
        <w:rPr>
          <w:rFonts w:ascii="Times New Roman" w:hAnsi="Times New Roman" w:cs="Times New Roman"/>
          <w:sz w:val="22"/>
          <w:szCs w:val="22"/>
        </w:rPr>
        <w:t>ok, na który jest ustalana stawka opłaty terminalowej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E266C3" w:rsidRPr="005C28A9" w:rsidRDefault="00E266C3" w:rsidP="005A7D2F">
      <w:pPr>
        <w:pStyle w:val="P1wTABELIpoziom1numeracjiwtabeli"/>
        <w:spacing w:line="276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5C28A9">
        <w:rPr>
          <w:rFonts w:ascii="Times New Roman" w:hAnsi="Times New Roman" w:cs="Times New Roman"/>
          <w:sz w:val="22"/>
          <w:szCs w:val="22"/>
        </w:rPr>
        <w:t>(1) Suma wszystkich kosztów całkowitych wykazanych w tabeli 1, przypisanych do danej strefy pobierania opłat.</w:t>
      </w:r>
    </w:p>
    <w:p w:rsidR="00E266C3" w:rsidRDefault="00E266C3" w:rsidP="005C28A9">
      <w:pPr>
        <w:pStyle w:val="P1wTABELIpoziom1numeracjiwtabeli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C28A9">
        <w:rPr>
          <w:rFonts w:ascii="Times New Roman" w:hAnsi="Times New Roman" w:cs="Times New Roman"/>
          <w:sz w:val="22"/>
          <w:szCs w:val="22"/>
        </w:rPr>
        <w:t xml:space="preserve">(2) </w:t>
      </w:r>
      <w:r w:rsidR="001356DF">
        <w:rPr>
          <w:rFonts w:ascii="Times New Roman" w:hAnsi="Times New Roman" w:cs="Times New Roman"/>
          <w:sz w:val="22"/>
          <w:szCs w:val="22"/>
        </w:rPr>
        <w:t>K</w:t>
      </w:r>
      <w:r w:rsidRPr="005C28A9">
        <w:rPr>
          <w:rFonts w:ascii="Times New Roman" w:hAnsi="Times New Roman" w:cs="Times New Roman"/>
          <w:sz w:val="22"/>
          <w:szCs w:val="22"/>
        </w:rPr>
        <w:t>oszty objęte opłatami / jednostki usługowe objęte opłatami.</w:t>
      </w:r>
    </w:p>
    <w:p w:rsidR="008531C0" w:rsidRPr="005C28A9" w:rsidRDefault="008531C0" w:rsidP="005C28A9">
      <w:pPr>
        <w:pStyle w:val="P1wTABELIpoziom1numeracjiwtabeli"/>
        <w:spacing w:line="276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41" w:rightFromText="141" w:vertAnchor="text" w:horzAnchor="margin" w:tblpY="11"/>
        <w:tblW w:w="48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8"/>
        <w:gridCol w:w="1274"/>
        <w:gridCol w:w="1276"/>
        <w:gridCol w:w="1276"/>
        <w:gridCol w:w="1274"/>
        <w:gridCol w:w="1134"/>
      </w:tblGrid>
      <w:tr w:rsidR="00597EB0" w:rsidRPr="005C28A9" w:rsidTr="002E3C76">
        <w:tc>
          <w:tcPr>
            <w:tcW w:w="1564" w:type="pct"/>
            <w:vAlign w:val="center"/>
          </w:tcPr>
          <w:p w:rsidR="00597EB0" w:rsidRPr="005C28A9" w:rsidRDefault="00597EB0" w:rsidP="00597E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B0" w:rsidRPr="005C28A9" w:rsidRDefault="00597EB0" w:rsidP="00597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(n-4</w:t>
            </w:r>
            <w:r w:rsidRPr="005C28A9">
              <w:rPr>
                <w:sz w:val="22"/>
                <w:szCs w:val="22"/>
              </w:rPr>
              <w:t>)</w:t>
            </w:r>
          </w:p>
          <w:p w:rsidR="00597EB0" w:rsidRPr="005C28A9" w:rsidRDefault="00597EB0" w:rsidP="00597EB0">
            <w:pPr>
              <w:jc w:val="center"/>
              <w:rPr>
                <w:sz w:val="22"/>
                <w:szCs w:val="22"/>
              </w:rPr>
            </w:pPr>
            <w:r w:rsidRPr="005C28A9">
              <w:rPr>
                <w:sz w:val="22"/>
                <w:szCs w:val="22"/>
              </w:rPr>
              <w:t>Wykonanie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B0" w:rsidRPr="005C28A9" w:rsidRDefault="00597EB0" w:rsidP="00597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(n-3</w:t>
            </w:r>
            <w:r w:rsidRPr="005C28A9">
              <w:rPr>
                <w:sz w:val="22"/>
                <w:szCs w:val="22"/>
              </w:rPr>
              <w:t>)</w:t>
            </w:r>
          </w:p>
          <w:p w:rsidR="00597EB0" w:rsidRPr="005C28A9" w:rsidRDefault="00597EB0" w:rsidP="00597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5C28A9">
              <w:rPr>
                <w:sz w:val="22"/>
                <w:szCs w:val="22"/>
              </w:rPr>
              <w:t>yko</w:t>
            </w:r>
            <w:r>
              <w:rPr>
                <w:sz w:val="22"/>
                <w:szCs w:val="22"/>
              </w:rPr>
              <w:t>nanie</w:t>
            </w:r>
          </w:p>
        </w:tc>
        <w:tc>
          <w:tcPr>
            <w:tcW w:w="703" w:type="pct"/>
            <w:vAlign w:val="center"/>
          </w:tcPr>
          <w:p w:rsidR="00597EB0" w:rsidRPr="005C28A9" w:rsidRDefault="00597EB0" w:rsidP="00597EB0">
            <w:pPr>
              <w:jc w:val="center"/>
              <w:rPr>
                <w:sz w:val="22"/>
                <w:szCs w:val="22"/>
              </w:rPr>
            </w:pPr>
            <w:r w:rsidRPr="005C28A9">
              <w:rPr>
                <w:sz w:val="22"/>
                <w:szCs w:val="22"/>
              </w:rPr>
              <w:t>(n-2)</w:t>
            </w:r>
          </w:p>
          <w:p w:rsidR="00597EB0" w:rsidRPr="005C28A9" w:rsidRDefault="00597EB0" w:rsidP="00597EB0">
            <w:pPr>
              <w:jc w:val="center"/>
              <w:rPr>
                <w:sz w:val="22"/>
                <w:szCs w:val="22"/>
              </w:rPr>
            </w:pPr>
            <w:r w:rsidRPr="005C28A9">
              <w:rPr>
                <w:sz w:val="22"/>
                <w:szCs w:val="22"/>
              </w:rPr>
              <w:t>Wykonanie</w:t>
            </w:r>
          </w:p>
        </w:tc>
        <w:tc>
          <w:tcPr>
            <w:tcW w:w="702" w:type="pct"/>
            <w:vAlign w:val="center"/>
            <w:hideMark/>
          </w:tcPr>
          <w:p w:rsidR="00597EB0" w:rsidRPr="005C28A9" w:rsidRDefault="00597EB0" w:rsidP="00597EB0">
            <w:pPr>
              <w:jc w:val="center"/>
              <w:rPr>
                <w:sz w:val="22"/>
                <w:szCs w:val="22"/>
              </w:rPr>
            </w:pPr>
            <w:r w:rsidRPr="005C28A9">
              <w:rPr>
                <w:sz w:val="22"/>
                <w:szCs w:val="22"/>
              </w:rPr>
              <w:t>(n-1)</w:t>
            </w:r>
          </w:p>
          <w:p w:rsidR="00597EB0" w:rsidRPr="005C28A9" w:rsidRDefault="00597EB0" w:rsidP="00597EB0">
            <w:pPr>
              <w:jc w:val="center"/>
              <w:rPr>
                <w:sz w:val="22"/>
                <w:szCs w:val="22"/>
              </w:rPr>
            </w:pPr>
            <w:r w:rsidRPr="005C28A9">
              <w:rPr>
                <w:sz w:val="22"/>
                <w:szCs w:val="22"/>
              </w:rPr>
              <w:t>Prognoza wykonania</w:t>
            </w:r>
          </w:p>
        </w:tc>
        <w:tc>
          <w:tcPr>
            <w:tcW w:w="625" w:type="pct"/>
            <w:vAlign w:val="center"/>
            <w:hideMark/>
          </w:tcPr>
          <w:p w:rsidR="00597EB0" w:rsidRPr="008531C0" w:rsidRDefault="00597EB0" w:rsidP="00597EB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5C28A9">
              <w:rPr>
                <w:sz w:val="22"/>
                <w:szCs w:val="22"/>
              </w:rPr>
              <w:t>(n)</w:t>
            </w:r>
          </w:p>
          <w:p w:rsidR="00597EB0" w:rsidRPr="005C28A9" w:rsidRDefault="00597EB0" w:rsidP="00597EB0">
            <w:pPr>
              <w:jc w:val="center"/>
              <w:rPr>
                <w:sz w:val="22"/>
                <w:szCs w:val="22"/>
              </w:rPr>
            </w:pPr>
            <w:r w:rsidRPr="005C28A9">
              <w:rPr>
                <w:sz w:val="22"/>
                <w:szCs w:val="22"/>
              </w:rPr>
              <w:t>Prognoza</w:t>
            </w:r>
          </w:p>
        </w:tc>
      </w:tr>
      <w:tr w:rsidR="00597EB0" w:rsidRPr="005C28A9" w:rsidTr="002E3C76">
        <w:tc>
          <w:tcPr>
            <w:tcW w:w="1564" w:type="pct"/>
          </w:tcPr>
          <w:p w:rsidR="00597EB0" w:rsidRPr="005C28A9" w:rsidRDefault="00597EB0" w:rsidP="00597EB0">
            <w:pPr>
              <w:rPr>
                <w:sz w:val="22"/>
                <w:szCs w:val="22"/>
              </w:rPr>
            </w:pPr>
            <w:r w:rsidRPr="005C28A9">
              <w:rPr>
                <w:sz w:val="22"/>
                <w:szCs w:val="22"/>
              </w:rPr>
              <w:t>Saldo przeniesi</w:t>
            </w:r>
            <w:r w:rsidR="00202C78">
              <w:rPr>
                <w:sz w:val="22"/>
                <w:szCs w:val="22"/>
              </w:rPr>
              <w:t>one z lat ubiegłych</w:t>
            </w:r>
          </w:p>
        </w:tc>
        <w:tc>
          <w:tcPr>
            <w:tcW w:w="702" w:type="pct"/>
          </w:tcPr>
          <w:p w:rsidR="00597EB0" w:rsidRPr="005C28A9" w:rsidRDefault="00597EB0" w:rsidP="00597EB0">
            <w:pPr>
              <w:rPr>
                <w:sz w:val="22"/>
                <w:szCs w:val="22"/>
              </w:rPr>
            </w:pPr>
          </w:p>
        </w:tc>
        <w:tc>
          <w:tcPr>
            <w:tcW w:w="703" w:type="pct"/>
          </w:tcPr>
          <w:p w:rsidR="00597EB0" w:rsidRPr="005C28A9" w:rsidRDefault="00597EB0" w:rsidP="00597EB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3" w:type="pct"/>
          </w:tcPr>
          <w:p w:rsidR="00597EB0" w:rsidRPr="005C28A9" w:rsidRDefault="00597EB0" w:rsidP="00597EB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2" w:type="pct"/>
          </w:tcPr>
          <w:p w:rsidR="00597EB0" w:rsidRPr="005C28A9" w:rsidRDefault="00597EB0" w:rsidP="00597EB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5" w:type="pct"/>
          </w:tcPr>
          <w:p w:rsidR="00597EB0" w:rsidRPr="005C28A9" w:rsidRDefault="00597EB0" w:rsidP="00597EB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97EB0" w:rsidRPr="005C28A9" w:rsidTr="002E3C76">
        <w:tc>
          <w:tcPr>
            <w:tcW w:w="1564" w:type="pct"/>
            <w:hideMark/>
          </w:tcPr>
          <w:p w:rsidR="00597EB0" w:rsidRPr="005C28A9" w:rsidRDefault="00597EB0" w:rsidP="00597EB0">
            <w:pPr>
              <w:rPr>
                <w:sz w:val="22"/>
                <w:szCs w:val="22"/>
              </w:rPr>
            </w:pPr>
            <w:r w:rsidRPr="005C28A9">
              <w:rPr>
                <w:sz w:val="22"/>
                <w:szCs w:val="22"/>
              </w:rPr>
              <w:t>Opłaty pobrane od użytkowników</w:t>
            </w:r>
          </w:p>
        </w:tc>
        <w:tc>
          <w:tcPr>
            <w:tcW w:w="702" w:type="pct"/>
          </w:tcPr>
          <w:p w:rsidR="00597EB0" w:rsidRPr="005C28A9" w:rsidRDefault="00597EB0" w:rsidP="00597EB0">
            <w:pPr>
              <w:rPr>
                <w:sz w:val="22"/>
                <w:szCs w:val="22"/>
              </w:rPr>
            </w:pPr>
          </w:p>
        </w:tc>
        <w:tc>
          <w:tcPr>
            <w:tcW w:w="703" w:type="pct"/>
          </w:tcPr>
          <w:p w:rsidR="00597EB0" w:rsidRPr="005C28A9" w:rsidRDefault="00597EB0" w:rsidP="00597EB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3" w:type="pct"/>
          </w:tcPr>
          <w:p w:rsidR="00597EB0" w:rsidRPr="005C28A9" w:rsidRDefault="00597EB0" w:rsidP="00597EB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2" w:type="pct"/>
          </w:tcPr>
          <w:p w:rsidR="00597EB0" w:rsidRPr="005C28A9" w:rsidRDefault="00597EB0" w:rsidP="00597EB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5" w:type="pct"/>
          </w:tcPr>
          <w:p w:rsidR="00597EB0" w:rsidRPr="005C28A9" w:rsidRDefault="00597EB0" w:rsidP="00597EB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97EB0" w:rsidRPr="005C28A9" w:rsidTr="002E3C76">
        <w:tc>
          <w:tcPr>
            <w:tcW w:w="1564" w:type="pct"/>
            <w:hideMark/>
          </w:tcPr>
          <w:p w:rsidR="00597EB0" w:rsidRPr="005C28A9" w:rsidRDefault="00597EB0" w:rsidP="00597EB0">
            <w:pPr>
              <w:rPr>
                <w:sz w:val="22"/>
                <w:szCs w:val="22"/>
              </w:rPr>
            </w:pPr>
            <w:r w:rsidRPr="005C28A9">
              <w:rPr>
                <w:sz w:val="22"/>
                <w:szCs w:val="22"/>
              </w:rPr>
              <w:t>Zrealizowane koszty terminalowe</w:t>
            </w:r>
          </w:p>
        </w:tc>
        <w:tc>
          <w:tcPr>
            <w:tcW w:w="702" w:type="pct"/>
          </w:tcPr>
          <w:p w:rsidR="00597EB0" w:rsidRPr="005C28A9" w:rsidRDefault="00597EB0" w:rsidP="00597EB0">
            <w:pPr>
              <w:rPr>
                <w:sz w:val="22"/>
                <w:szCs w:val="22"/>
              </w:rPr>
            </w:pPr>
          </w:p>
        </w:tc>
        <w:tc>
          <w:tcPr>
            <w:tcW w:w="703" w:type="pct"/>
          </w:tcPr>
          <w:p w:rsidR="00597EB0" w:rsidRPr="005C28A9" w:rsidRDefault="00597EB0" w:rsidP="00597EB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3" w:type="pct"/>
          </w:tcPr>
          <w:p w:rsidR="00597EB0" w:rsidRPr="005C28A9" w:rsidRDefault="00597EB0" w:rsidP="00597EB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2" w:type="pct"/>
          </w:tcPr>
          <w:p w:rsidR="00597EB0" w:rsidRPr="005C28A9" w:rsidRDefault="00597EB0" w:rsidP="00597EB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5" w:type="pct"/>
          </w:tcPr>
          <w:p w:rsidR="00597EB0" w:rsidRPr="005C28A9" w:rsidRDefault="00597EB0" w:rsidP="00597EB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97EB0" w:rsidRPr="005C28A9" w:rsidTr="002E3C76">
        <w:tc>
          <w:tcPr>
            <w:tcW w:w="1564" w:type="pct"/>
            <w:hideMark/>
          </w:tcPr>
          <w:p w:rsidR="00597EB0" w:rsidRPr="005C28A9" w:rsidRDefault="00597EB0" w:rsidP="00597EB0">
            <w:pPr>
              <w:rPr>
                <w:sz w:val="22"/>
                <w:szCs w:val="22"/>
              </w:rPr>
            </w:pPr>
            <w:r w:rsidRPr="005C28A9">
              <w:rPr>
                <w:sz w:val="22"/>
                <w:szCs w:val="22"/>
              </w:rPr>
              <w:t xml:space="preserve">Zrealizowane koszty lotów objętych zwolnieniem </w:t>
            </w:r>
          </w:p>
        </w:tc>
        <w:tc>
          <w:tcPr>
            <w:tcW w:w="702" w:type="pct"/>
          </w:tcPr>
          <w:p w:rsidR="00597EB0" w:rsidRPr="005C28A9" w:rsidRDefault="00597EB0" w:rsidP="00597EB0">
            <w:pPr>
              <w:rPr>
                <w:sz w:val="22"/>
                <w:szCs w:val="22"/>
              </w:rPr>
            </w:pPr>
          </w:p>
        </w:tc>
        <w:tc>
          <w:tcPr>
            <w:tcW w:w="703" w:type="pct"/>
          </w:tcPr>
          <w:p w:rsidR="00597EB0" w:rsidRPr="005C28A9" w:rsidRDefault="00597EB0" w:rsidP="00597EB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3" w:type="pct"/>
          </w:tcPr>
          <w:p w:rsidR="00597EB0" w:rsidRPr="005C28A9" w:rsidRDefault="00597EB0" w:rsidP="00597EB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2" w:type="pct"/>
          </w:tcPr>
          <w:p w:rsidR="00597EB0" w:rsidRPr="005C28A9" w:rsidRDefault="00597EB0" w:rsidP="00597EB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5" w:type="pct"/>
          </w:tcPr>
          <w:p w:rsidR="00597EB0" w:rsidRPr="005C28A9" w:rsidRDefault="00597EB0" w:rsidP="00597EB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97EB0" w:rsidRPr="005C28A9" w:rsidTr="002E3C76">
        <w:tc>
          <w:tcPr>
            <w:tcW w:w="1564" w:type="pct"/>
            <w:hideMark/>
          </w:tcPr>
          <w:p w:rsidR="00597EB0" w:rsidRPr="005C28A9" w:rsidRDefault="004F1127" w:rsidP="00597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Saldo</w:t>
            </w:r>
            <w:r w:rsidRPr="005C28A9">
              <w:rPr>
                <w:sz w:val="22"/>
                <w:szCs w:val="22"/>
              </w:rPr>
              <w:t xml:space="preserve"> </w:t>
            </w:r>
            <w:r w:rsidR="00597EB0" w:rsidRPr="005C28A9">
              <w:rPr>
                <w:sz w:val="22"/>
                <w:szCs w:val="22"/>
              </w:rPr>
              <w:t xml:space="preserve">przeniesione na </w:t>
            </w:r>
            <w:r>
              <w:rPr>
                <w:sz w:val="22"/>
                <w:szCs w:val="22"/>
              </w:rPr>
              <w:t>kolejne lata</w:t>
            </w:r>
            <w:r w:rsidR="00597EB0" w:rsidRPr="005C28A9">
              <w:rPr>
                <w:sz w:val="22"/>
                <w:szCs w:val="22"/>
              </w:rPr>
              <w:t xml:space="preserve"> (n)</w:t>
            </w:r>
          </w:p>
        </w:tc>
        <w:tc>
          <w:tcPr>
            <w:tcW w:w="702" w:type="pct"/>
          </w:tcPr>
          <w:p w:rsidR="00597EB0" w:rsidRPr="005C28A9" w:rsidRDefault="00597EB0" w:rsidP="00597EB0">
            <w:pPr>
              <w:rPr>
                <w:sz w:val="22"/>
                <w:szCs w:val="22"/>
              </w:rPr>
            </w:pPr>
          </w:p>
        </w:tc>
        <w:tc>
          <w:tcPr>
            <w:tcW w:w="703" w:type="pct"/>
          </w:tcPr>
          <w:p w:rsidR="00597EB0" w:rsidRPr="005C28A9" w:rsidRDefault="00597EB0" w:rsidP="00597EB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3" w:type="pct"/>
          </w:tcPr>
          <w:p w:rsidR="00597EB0" w:rsidRPr="005C28A9" w:rsidRDefault="00597EB0" w:rsidP="00597EB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2" w:type="pct"/>
          </w:tcPr>
          <w:p w:rsidR="00597EB0" w:rsidRPr="005C28A9" w:rsidRDefault="00597EB0" w:rsidP="00597EB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5" w:type="pct"/>
          </w:tcPr>
          <w:p w:rsidR="00597EB0" w:rsidRPr="005C28A9" w:rsidRDefault="00597EB0" w:rsidP="00597EB0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E266C3" w:rsidRPr="005C28A9" w:rsidRDefault="00E266C3" w:rsidP="005C28A9">
      <w:pPr>
        <w:spacing w:line="276" w:lineRule="auto"/>
        <w:rPr>
          <w:sz w:val="22"/>
          <w:szCs w:val="22"/>
        </w:rPr>
      </w:pPr>
    </w:p>
    <w:p w:rsidR="004F31B1" w:rsidRDefault="004F31B1" w:rsidP="005C28A9">
      <w:pPr>
        <w:pStyle w:val="CZKSIGAoznaczenieiprzedmiotczcilubksigi"/>
        <w:spacing w:line="276" w:lineRule="auto"/>
        <w:rPr>
          <w:rFonts w:ascii="Times New Roman" w:hAnsi="Times New Roman"/>
          <w:sz w:val="22"/>
          <w:szCs w:val="22"/>
        </w:rPr>
      </w:pPr>
    </w:p>
    <w:p w:rsidR="00E266C3" w:rsidRPr="005C28A9" w:rsidRDefault="00E266C3" w:rsidP="005C28A9">
      <w:pPr>
        <w:pStyle w:val="CZKSIGAoznaczenieiprzedmiotczcilubksigi"/>
        <w:spacing w:line="276" w:lineRule="auto"/>
        <w:rPr>
          <w:rFonts w:ascii="Times New Roman" w:hAnsi="Times New Roman"/>
          <w:sz w:val="22"/>
          <w:szCs w:val="22"/>
        </w:rPr>
      </w:pPr>
      <w:r w:rsidRPr="005C28A9">
        <w:rPr>
          <w:rFonts w:ascii="Times New Roman" w:hAnsi="Times New Roman"/>
          <w:sz w:val="22"/>
          <w:szCs w:val="22"/>
        </w:rPr>
        <w:t>Informacje dodatkowe do Tabeli 2</w:t>
      </w:r>
    </w:p>
    <w:p w:rsidR="00E266C3" w:rsidRPr="005C28A9" w:rsidRDefault="00E266C3" w:rsidP="005C28A9">
      <w:pPr>
        <w:spacing w:line="276" w:lineRule="auto"/>
        <w:jc w:val="both"/>
        <w:rPr>
          <w:sz w:val="22"/>
          <w:szCs w:val="22"/>
        </w:rPr>
      </w:pPr>
      <w:r w:rsidRPr="005C28A9">
        <w:rPr>
          <w:sz w:val="22"/>
          <w:szCs w:val="22"/>
        </w:rPr>
        <w:t xml:space="preserve">Wraz z </w:t>
      </w:r>
      <w:r w:rsidR="00B30A97">
        <w:rPr>
          <w:sz w:val="22"/>
          <w:szCs w:val="22"/>
        </w:rPr>
        <w:t>t</w:t>
      </w:r>
      <w:r w:rsidR="00B30A97" w:rsidRPr="005C28A9">
        <w:rPr>
          <w:sz w:val="22"/>
          <w:szCs w:val="22"/>
        </w:rPr>
        <w:t xml:space="preserve">abelą </w:t>
      </w:r>
      <w:r w:rsidRPr="005C28A9">
        <w:rPr>
          <w:sz w:val="22"/>
          <w:szCs w:val="22"/>
        </w:rPr>
        <w:t>2 instytucja zapewniająca służby ruchu lotniczego przekazuje informacje:</w:t>
      </w:r>
    </w:p>
    <w:p w:rsidR="00E266C3" w:rsidRPr="005C28A9" w:rsidRDefault="00E266C3" w:rsidP="0030612C">
      <w:pPr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5C28A9">
        <w:rPr>
          <w:sz w:val="22"/>
          <w:szCs w:val="22"/>
        </w:rPr>
        <w:t>opis przychodów z innych źródeł</w:t>
      </w:r>
      <w:r w:rsidR="0048693C" w:rsidRPr="005C28A9">
        <w:rPr>
          <w:sz w:val="22"/>
          <w:szCs w:val="22"/>
        </w:rPr>
        <w:t>;</w:t>
      </w:r>
    </w:p>
    <w:p w:rsidR="00E266C3" w:rsidRPr="005C28A9" w:rsidRDefault="007A0E03" w:rsidP="0030612C">
      <w:pPr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5C28A9">
        <w:rPr>
          <w:sz w:val="22"/>
          <w:szCs w:val="22"/>
        </w:rPr>
        <w:t>opis i wyjaśnienie sposobu obliczania prognozowanych jednostek usługowych objętych opłatami</w:t>
      </w:r>
      <w:r w:rsidR="0048693C" w:rsidRPr="005C28A9">
        <w:rPr>
          <w:sz w:val="22"/>
          <w:szCs w:val="22"/>
        </w:rPr>
        <w:t>;</w:t>
      </w:r>
    </w:p>
    <w:p w:rsidR="00D50BAB" w:rsidRDefault="00D50BAB" w:rsidP="00D50BAB">
      <w:pPr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5C28A9">
        <w:rPr>
          <w:sz w:val="22"/>
          <w:szCs w:val="22"/>
        </w:rPr>
        <w:t xml:space="preserve">opis założeń przyjętych do określenia </w:t>
      </w:r>
      <w:r>
        <w:rPr>
          <w:sz w:val="22"/>
          <w:szCs w:val="22"/>
        </w:rPr>
        <w:t>podstawy kosztowej opłat;</w:t>
      </w:r>
    </w:p>
    <w:p w:rsidR="00D50BAB" w:rsidRDefault="00D50BAB" w:rsidP="00D50BAB">
      <w:pPr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opis alokacji kosztów pomiędzy:</w:t>
      </w:r>
    </w:p>
    <w:p w:rsidR="00D50BAB" w:rsidRPr="007D6ED3" w:rsidRDefault="00D50BAB" w:rsidP="00D50BAB">
      <w:pPr>
        <w:numPr>
          <w:ilvl w:val="1"/>
          <w:numId w:val="11"/>
        </w:numPr>
        <w:spacing w:line="276" w:lineRule="auto"/>
        <w:ind w:left="92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obsługę </w:t>
      </w:r>
      <w:r w:rsidRPr="005C28A9">
        <w:rPr>
          <w:sz w:val="22"/>
          <w:szCs w:val="22"/>
        </w:rPr>
        <w:t xml:space="preserve">lotów </w:t>
      </w:r>
      <w:r w:rsidRPr="008531C0">
        <w:rPr>
          <w:sz w:val="22"/>
          <w:szCs w:val="22"/>
        </w:rPr>
        <w:t xml:space="preserve">wykonywanych zgodnie z przepisami </w:t>
      </w:r>
      <w:r>
        <w:rPr>
          <w:sz w:val="22"/>
          <w:szCs w:val="22"/>
        </w:rPr>
        <w:t xml:space="preserve">dla </w:t>
      </w:r>
      <w:r w:rsidRPr="008531C0">
        <w:rPr>
          <w:sz w:val="22"/>
          <w:szCs w:val="22"/>
        </w:rPr>
        <w:t>lotów z widocznością (VFR – Visual Flight Rules)</w:t>
      </w:r>
      <w:r>
        <w:rPr>
          <w:sz w:val="22"/>
          <w:szCs w:val="22"/>
        </w:rPr>
        <w:t>,</w:t>
      </w:r>
    </w:p>
    <w:p w:rsidR="00D50BAB" w:rsidRDefault="00D50BAB" w:rsidP="00D50BAB">
      <w:pPr>
        <w:numPr>
          <w:ilvl w:val="1"/>
          <w:numId w:val="11"/>
        </w:numPr>
        <w:spacing w:line="276" w:lineRule="auto"/>
        <w:ind w:left="924" w:hanging="357"/>
        <w:jc w:val="both"/>
        <w:rPr>
          <w:sz w:val="22"/>
          <w:szCs w:val="22"/>
        </w:rPr>
      </w:pPr>
      <w:r>
        <w:t xml:space="preserve">obsługę lotów </w:t>
      </w:r>
      <w:r w:rsidRPr="008531C0">
        <w:rPr>
          <w:sz w:val="22"/>
          <w:szCs w:val="22"/>
        </w:rPr>
        <w:t>wyko</w:t>
      </w:r>
      <w:r>
        <w:rPr>
          <w:sz w:val="22"/>
          <w:szCs w:val="22"/>
        </w:rPr>
        <w:t>nyw</w:t>
      </w:r>
      <w:r w:rsidRPr="008531C0">
        <w:rPr>
          <w:sz w:val="22"/>
          <w:szCs w:val="22"/>
        </w:rPr>
        <w:t>anych zgodnie z przepisami dla lotów według wskazań przyrządów (IFR – Instrument Flight Rules)</w:t>
      </w:r>
      <w:r>
        <w:rPr>
          <w:sz w:val="22"/>
          <w:szCs w:val="22"/>
        </w:rPr>
        <w:t>, objętych</w:t>
      </w:r>
      <w:r w:rsidRPr="008531C0">
        <w:rPr>
          <w:sz w:val="22"/>
          <w:szCs w:val="22"/>
        </w:rPr>
        <w:t xml:space="preserve"> </w:t>
      </w:r>
      <w:r w:rsidRPr="005C28A9">
        <w:rPr>
          <w:sz w:val="22"/>
          <w:szCs w:val="22"/>
        </w:rPr>
        <w:t>zwolni</w:t>
      </w:r>
      <w:r>
        <w:rPr>
          <w:sz w:val="22"/>
          <w:szCs w:val="22"/>
        </w:rPr>
        <w:t>eniem</w:t>
      </w:r>
      <w:r w:rsidRPr="005C28A9">
        <w:rPr>
          <w:sz w:val="22"/>
          <w:szCs w:val="22"/>
        </w:rPr>
        <w:t xml:space="preserve"> </w:t>
      </w:r>
      <w:r>
        <w:rPr>
          <w:sz w:val="22"/>
          <w:szCs w:val="22"/>
        </w:rPr>
        <w:t>z opłat nawigacyjnych,</w:t>
      </w:r>
    </w:p>
    <w:p w:rsidR="00D50BAB" w:rsidRPr="009B5D5D" w:rsidRDefault="00D50BAB" w:rsidP="00D50BAB">
      <w:pPr>
        <w:numPr>
          <w:ilvl w:val="1"/>
          <w:numId w:val="11"/>
        </w:numPr>
        <w:ind w:left="924" w:hanging="357"/>
        <w:jc w:val="both"/>
        <w:rPr>
          <w:sz w:val="22"/>
          <w:szCs w:val="22"/>
        </w:rPr>
      </w:pPr>
      <w:r w:rsidRPr="009B5D5D">
        <w:rPr>
          <w:sz w:val="22"/>
          <w:szCs w:val="22"/>
        </w:rPr>
        <w:t xml:space="preserve">obsługę lotów wykonywanych zgodnie z przepisami dla lotów według wskazań przyrządów (IFR – Instrument Flight Rules), </w:t>
      </w:r>
      <w:r>
        <w:rPr>
          <w:sz w:val="22"/>
          <w:szCs w:val="22"/>
        </w:rPr>
        <w:t>nie</w:t>
      </w:r>
      <w:r w:rsidRPr="009B5D5D">
        <w:rPr>
          <w:sz w:val="22"/>
          <w:szCs w:val="22"/>
        </w:rPr>
        <w:t>objętych zwolnieniem z opłat nawigacyjnych;</w:t>
      </w:r>
    </w:p>
    <w:p w:rsidR="00332EB5" w:rsidRDefault="00DD1AEF" w:rsidP="00332EB5">
      <w:pPr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83028D">
        <w:rPr>
          <w:sz w:val="22"/>
          <w:szCs w:val="22"/>
        </w:rPr>
        <w:t xml:space="preserve">opis przeniesień na rok n. </w:t>
      </w:r>
    </w:p>
    <w:p w:rsidR="00332EB5" w:rsidRDefault="00332EB5" w:rsidP="001356DF">
      <w:pPr>
        <w:spacing w:line="276" w:lineRule="auto"/>
        <w:jc w:val="both"/>
        <w:rPr>
          <w:sz w:val="22"/>
          <w:szCs w:val="22"/>
        </w:rPr>
      </w:pPr>
    </w:p>
    <w:p w:rsidR="00332EB5" w:rsidRDefault="00332EB5" w:rsidP="001356DF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Uwagi:</w:t>
      </w:r>
    </w:p>
    <w:p w:rsidR="008531C0" w:rsidRDefault="00CE1C7A" w:rsidP="001356DF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Koszty</w:t>
      </w:r>
      <w:r w:rsidRPr="008531C0">
        <w:rPr>
          <w:sz w:val="22"/>
          <w:szCs w:val="22"/>
        </w:rPr>
        <w:t xml:space="preserve"> </w:t>
      </w:r>
      <w:r w:rsidR="008531C0" w:rsidRPr="008531C0">
        <w:rPr>
          <w:sz w:val="22"/>
          <w:szCs w:val="22"/>
        </w:rPr>
        <w:t>lotów</w:t>
      </w:r>
      <w:r w:rsidR="001356DF">
        <w:rPr>
          <w:sz w:val="22"/>
          <w:szCs w:val="22"/>
        </w:rPr>
        <w:t xml:space="preserve"> </w:t>
      </w:r>
      <w:r w:rsidR="008531C0" w:rsidRPr="008531C0">
        <w:rPr>
          <w:sz w:val="22"/>
          <w:szCs w:val="22"/>
        </w:rPr>
        <w:t>objętych zwolnieniem z opłat nawigacyjnych</w:t>
      </w:r>
      <w:r w:rsidR="008531C0">
        <w:rPr>
          <w:sz w:val="22"/>
          <w:szCs w:val="22"/>
        </w:rPr>
        <w:t>, oblicza się zgodnie z art. 22 ust. 6 rozporządzenia</w:t>
      </w:r>
      <w:r w:rsidR="008531C0" w:rsidRPr="008531C0">
        <w:rPr>
          <w:sz w:val="22"/>
          <w:szCs w:val="22"/>
        </w:rPr>
        <w:t xml:space="preserve"> wykonawcze</w:t>
      </w:r>
      <w:r w:rsidR="008531C0">
        <w:rPr>
          <w:sz w:val="22"/>
          <w:szCs w:val="22"/>
        </w:rPr>
        <w:t>go</w:t>
      </w:r>
      <w:r w:rsidR="008531C0" w:rsidRPr="008531C0">
        <w:rPr>
          <w:sz w:val="22"/>
          <w:szCs w:val="22"/>
        </w:rPr>
        <w:t xml:space="preserve"> Komisji (UE) 2019/317 z dnia 11 lutego 2019 r. ustanawiające</w:t>
      </w:r>
      <w:r w:rsidR="00966778">
        <w:rPr>
          <w:sz w:val="22"/>
          <w:szCs w:val="22"/>
        </w:rPr>
        <w:t>go</w:t>
      </w:r>
      <w:r w:rsidR="008531C0" w:rsidRPr="008531C0">
        <w:rPr>
          <w:sz w:val="22"/>
          <w:szCs w:val="22"/>
        </w:rPr>
        <w:t xml:space="preserve"> system skuteczności działania i opłat w jednolitej europejskiej przestrzeni powietrznej oraz uchylające</w:t>
      </w:r>
      <w:r w:rsidR="00966778">
        <w:rPr>
          <w:sz w:val="22"/>
          <w:szCs w:val="22"/>
        </w:rPr>
        <w:t>go</w:t>
      </w:r>
      <w:r w:rsidR="008531C0" w:rsidRPr="008531C0">
        <w:rPr>
          <w:sz w:val="22"/>
          <w:szCs w:val="22"/>
        </w:rPr>
        <w:t xml:space="preserve"> rozporządzenia wykonawcze (UE) nr 390/2013 i (UE) nr 391/2013</w:t>
      </w:r>
      <w:r w:rsidR="008531C0">
        <w:rPr>
          <w:sz w:val="22"/>
          <w:szCs w:val="22"/>
        </w:rPr>
        <w:t>.</w:t>
      </w:r>
    </w:p>
    <w:p w:rsidR="008531C0" w:rsidRDefault="008531C0" w:rsidP="001356DF">
      <w:pPr>
        <w:spacing w:line="276" w:lineRule="auto"/>
        <w:jc w:val="both"/>
        <w:rPr>
          <w:sz w:val="22"/>
          <w:szCs w:val="22"/>
        </w:rPr>
      </w:pPr>
    </w:p>
    <w:p w:rsidR="008D0150" w:rsidRDefault="008D0150" w:rsidP="001356DF">
      <w:pPr>
        <w:spacing w:line="276" w:lineRule="auto"/>
        <w:jc w:val="both"/>
        <w:rPr>
          <w:sz w:val="22"/>
          <w:szCs w:val="22"/>
        </w:rPr>
      </w:pPr>
    </w:p>
    <w:p w:rsidR="008D0150" w:rsidRDefault="008D0150" w:rsidP="001356DF">
      <w:pPr>
        <w:spacing w:line="276" w:lineRule="auto"/>
        <w:jc w:val="both"/>
        <w:rPr>
          <w:sz w:val="22"/>
          <w:szCs w:val="22"/>
        </w:rPr>
      </w:pPr>
    </w:p>
    <w:p w:rsidR="008D0150" w:rsidRDefault="008D0150" w:rsidP="001356DF">
      <w:pPr>
        <w:spacing w:line="276" w:lineRule="auto"/>
        <w:jc w:val="both"/>
        <w:rPr>
          <w:sz w:val="22"/>
          <w:szCs w:val="22"/>
        </w:rPr>
      </w:pPr>
    </w:p>
    <w:p w:rsidR="008D0150" w:rsidRDefault="008D0150" w:rsidP="001356DF">
      <w:pPr>
        <w:spacing w:line="276" w:lineRule="auto"/>
        <w:jc w:val="both"/>
        <w:rPr>
          <w:sz w:val="22"/>
          <w:szCs w:val="22"/>
        </w:rPr>
      </w:pPr>
    </w:p>
    <w:p w:rsidR="008D0150" w:rsidRDefault="008D0150" w:rsidP="001356DF">
      <w:pPr>
        <w:spacing w:line="276" w:lineRule="auto"/>
        <w:jc w:val="both"/>
        <w:rPr>
          <w:sz w:val="22"/>
          <w:szCs w:val="22"/>
        </w:rPr>
      </w:pPr>
    </w:p>
    <w:p w:rsidR="008D0150" w:rsidRDefault="008D0150" w:rsidP="001356DF">
      <w:pPr>
        <w:spacing w:line="276" w:lineRule="auto"/>
        <w:jc w:val="both"/>
        <w:rPr>
          <w:sz w:val="22"/>
          <w:szCs w:val="22"/>
        </w:rPr>
      </w:pPr>
    </w:p>
    <w:p w:rsidR="008D0150" w:rsidRDefault="008D0150" w:rsidP="001356DF">
      <w:pPr>
        <w:spacing w:line="276" w:lineRule="auto"/>
        <w:jc w:val="both"/>
        <w:rPr>
          <w:sz w:val="22"/>
          <w:szCs w:val="22"/>
        </w:rPr>
      </w:pPr>
    </w:p>
    <w:p w:rsidR="008D0150" w:rsidRDefault="008D0150" w:rsidP="001356DF">
      <w:pPr>
        <w:spacing w:line="276" w:lineRule="auto"/>
        <w:jc w:val="both"/>
        <w:rPr>
          <w:sz w:val="22"/>
          <w:szCs w:val="22"/>
        </w:rPr>
      </w:pPr>
    </w:p>
    <w:p w:rsidR="008D0150" w:rsidRDefault="008D0150" w:rsidP="001356DF">
      <w:pPr>
        <w:spacing w:line="276" w:lineRule="auto"/>
        <w:jc w:val="both"/>
        <w:rPr>
          <w:sz w:val="22"/>
          <w:szCs w:val="22"/>
        </w:rPr>
      </w:pPr>
    </w:p>
    <w:p w:rsidR="008D0150" w:rsidRDefault="008D0150" w:rsidP="001356DF">
      <w:pPr>
        <w:spacing w:line="276" w:lineRule="auto"/>
        <w:jc w:val="both"/>
        <w:rPr>
          <w:sz w:val="22"/>
          <w:szCs w:val="22"/>
        </w:rPr>
      </w:pPr>
    </w:p>
    <w:p w:rsidR="008D0150" w:rsidRDefault="008D0150" w:rsidP="001356DF">
      <w:pPr>
        <w:spacing w:line="276" w:lineRule="auto"/>
        <w:jc w:val="both"/>
        <w:rPr>
          <w:sz w:val="22"/>
          <w:szCs w:val="22"/>
        </w:rPr>
      </w:pPr>
    </w:p>
    <w:p w:rsidR="008D0150" w:rsidRDefault="008D0150" w:rsidP="001356DF">
      <w:pPr>
        <w:spacing w:line="276" w:lineRule="auto"/>
        <w:jc w:val="both"/>
        <w:rPr>
          <w:sz w:val="22"/>
          <w:szCs w:val="22"/>
        </w:rPr>
      </w:pPr>
    </w:p>
    <w:p w:rsidR="008D0150" w:rsidRDefault="008D0150" w:rsidP="001356DF">
      <w:pPr>
        <w:spacing w:line="276" w:lineRule="auto"/>
        <w:jc w:val="both"/>
        <w:rPr>
          <w:sz w:val="22"/>
          <w:szCs w:val="22"/>
        </w:rPr>
      </w:pPr>
    </w:p>
    <w:p w:rsidR="008D0150" w:rsidRDefault="008D0150" w:rsidP="001356DF">
      <w:pPr>
        <w:spacing w:line="276" w:lineRule="auto"/>
        <w:jc w:val="both"/>
        <w:rPr>
          <w:sz w:val="22"/>
          <w:szCs w:val="22"/>
        </w:rPr>
      </w:pPr>
    </w:p>
    <w:p w:rsidR="008D0150" w:rsidRDefault="008D0150" w:rsidP="001356DF">
      <w:pPr>
        <w:spacing w:line="276" w:lineRule="auto"/>
        <w:jc w:val="both"/>
        <w:rPr>
          <w:sz w:val="22"/>
          <w:szCs w:val="22"/>
        </w:rPr>
      </w:pPr>
    </w:p>
    <w:p w:rsidR="008D0150" w:rsidRDefault="008D0150" w:rsidP="001356DF">
      <w:pPr>
        <w:spacing w:line="276" w:lineRule="auto"/>
        <w:jc w:val="both"/>
        <w:rPr>
          <w:sz w:val="22"/>
          <w:szCs w:val="22"/>
        </w:rPr>
      </w:pPr>
    </w:p>
    <w:p w:rsidR="008D0150" w:rsidRDefault="008D0150" w:rsidP="001356DF">
      <w:pPr>
        <w:spacing w:line="276" w:lineRule="auto"/>
        <w:jc w:val="both"/>
        <w:rPr>
          <w:sz w:val="22"/>
          <w:szCs w:val="22"/>
        </w:rPr>
      </w:pPr>
    </w:p>
    <w:p w:rsidR="008D0150" w:rsidRDefault="008D0150" w:rsidP="001356DF">
      <w:pPr>
        <w:spacing w:line="276" w:lineRule="auto"/>
        <w:jc w:val="both"/>
        <w:rPr>
          <w:sz w:val="22"/>
          <w:szCs w:val="22"/>
        </w:rPr>
      </w:pPr>
    </w:p>
    <w:p w:rsidR="008D0150" w:rsidRDefault="008D0150" w:rsidP="001356DF">
      <w:pPr>
        <w:spacing w:line="276" w:lineRule="auto"/>
        <w:jc w:val="both"/>
        <w:rPr>
          <w:sz w:val="22"/>
          <w:szCs w:val="22"/>
        </w:rPr>
      </w:pPr>
    </w:p>
    <w:p w:rsidR="008D0150" w:rsidRDefault="008D0150" w:rsidP="001356DF">
      <w:pPr>
        <w:spacing w:line="276" w:lineRule="auto"/>
        <w:jc w:val="both"/>
        <w:rPr>
          <w:sz w:val="22"/>
          <w:szCs w:val="22"/>
        </w:rPr>
      </w:pPr>
    </w:p>
    <w:p w:rsidR="008D0150" w:rsidRDefault="008D0150" w:rsidP="001356DF">
      <w:pPr>
        <w:spacing w:line="276" w:lineRule="auto"/>
        <w:jc w:val="both"/>
        <w:rPr>
          <w:sz w:val="22"/>
          <w:szCs w:val="22"/>
        </w:rPr>
      </w:pPr>
    </w:p>
    <w:p w:rsidR="008D0150" w:rsidRDefault="008D0150" w:rsidP="001356DF">
      <w:pPr>
        <w:spacing w:line="276" w:lineRule="auto"/>
        <w:jc w:val="both"/>
        <w:rPr>
          <w:sz w:val="22"/>
          <w:szCs w:val="22"/>
        </w:rPr>
      </w:pPr>
    </w:p>
    <w:p w:rsidR="008D0150" w:rsidRDefault="008D0150" w:rsidP="001356DF">
      <w:pPr>
        <w:spacing w:line="276" w:lineRule="auto"/>
        <w:jc w:val="both"/>
        <w:rPr>
          <w:sz w:val="22"/>
          <w:szCs w:val="22"/>
        </w:rPr>
      </w:pPr>
    </w:p>
    <w:p w:rsidR="008D0150" w:rsidRDefault="008D0150" w:rsidP="001356DF">
      <w:pPr>
        <w:spacing w:line="276" w:lineRule="auto"/>
        <w:jc w:val="both"/>
        <w:rPr>
          <w:sz w:val="22"/>
          <w:szCs w:val="22"/>
        </w:rPr>
      </w:pPr>
    </w:p>
    <w:p w:rsidR="008D0150" w:rsidRDefault="008D0150" w:rsidP="001356DF">
      <w:pPr>
        <w:spacing w:line="276" w:lineRule="auto"/>
        <w:jc w:val="both"/>
        <w:rPr>
          <w:sz w:val="22"/>
          <w:szCs w:val="22"/>
        </w:rPr>
      </w:pPr>
    </w:p>
    <w:p w:rsidR="008D0150" w:rsidRDefault="008D0150" w:rsidP="001356DF">
      <w:pPr>
        <w:spacing w:line="276" w:lineRule="auto"/>
        <w:jc w:val="both"/>
        <w:rPr>
          <w:sz w:val="22"/>
          <w:szCs w:val="22"/>
        </w:rPr>
      </w:pPr>
    </w:p>
    <w:p w:rsidR="008D0150" w:rsidRDefault="008D0150" w:rsidP="001356DF">
      <w:pPr>
        <w:spacing w:line="276" w:lineRule="auto"/>
        <w:jc w:val="both"/>
        <w:rPr>
          <w:sz w:val="22"/>
          <w:szCs w:val="22"/>
        </w:rPr>
      </w:pPr>
    </w:p>
    <w:p w:rsidR="008D0150" w:rsidRDefault="008D0150" w:rsidP="001356DF">
      <w:pPr>
        <w:spacing w:line="276" w:lineRule="auto"/>
        <w:jc w:val="both"/>
        <w:rPr>
          <w:sz w:val="22"/>
          <w:szCs w:val="22"/>
        </w:rPr>
      </w:pPr>
    </w:p>
    <w:p w:rsidR="008D0150" w:rsidRDefault="008D0150" w:rsidP="001356DF">
      <w:pPr>
        <w:spacing w:line="276" w:lineRule="auto"/>
        <w:jc w:val="both"/>
        <w:rPr>
          <w:sz w:val="22"/>
          <w:szCs w:val="22"/>
        </w:rPr>
      </w:pPr>
    </w:p>
    <w:p w:rsidR="008D0150" w:rsidRDefault="008D0150" w:rsidP="001356DF">
      <w:pPr>
        <w:spacing w:line="276" w:lineRule="auto"/>
        <w:jc w:val="both"/>
        <w:rPr>
          <w:sz w:val="22"/>
          <w:szCs w:val="22"/>
        </w:rPr>
      </w:pPr>
    </w:p>
    <w:p w:rsidR="008D0150" w:rsidRDefault="008D0150" w:rsidP="001356DF">
      <w:pPr>
        <w:spacing w:line="276" w:lineRule="auto"/>
        <w:jc w:val="both"/>
        <w:rPr>
          <w:sz w:val="22"/>
          <w:szCs w:val="22"/>
        </w:rPr>
      </w:pPr>
    </w:p>
    <w:p w:rsidR="00E266C3" w:rsidRPr="008D0150" w:rsidRDefault="00E266C3" w:rsidP="008D0150">
      <w:pPr>
        <w:spacing w:line="276" w:lineRule="auto"/>
        <w:jc w:val="right"/>
        <w:rPr>
          <w:b/>
        </w:rPr>
      </w:pPr>
      <w:r w:rsidRPr="008D0150">
        <w:rPr>
          <w:b/>
        </w:rPr>
        <w:t xml:space="preserve">Załącznik </w:t>
      </w:r>
      <w:r w:rsidR="00532D6C" w:rsidRPr="008D0150">
        <w:rPr>
          <w:b/>
        </w:rPr>
        <w:t>nr 3</w:t>
      </w:r>
    </w:p>
    <w:p w:rsidR="009F2604" w:rsidRPr="00EC4281" w:rsidRDefault="009F2604" w:rsidP="005C28A9">
      <w:pPr>
        <w:pStyle w:val="TYTTABELItytutabeli"/>
        <w:spacing w:line="276" w:lineRule="auto"/>
        <w:rPr>
          <w:rFonts w:ascii="Times New Roman" w:hAnsi="Times New Roman" w:cs="Times New Roman"/>
        </w:rPr>
      </w:pPr>
    </w:p>
    <w:p w:rsidR="00E266C3" w:rsidRPr="00EC4281" w:rsidRDefault="006239D3" w:rsidP="005C28A9">
      <w:pPr>
        <w:pStyle w:val="TYTTABELItytutabeli"/>
        <w:spacing w:line="276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SPosób </w:t>
      </w:r>
      <w:r w:rsidR="00E266C3" w:rsidRPr="00EC4281">
        <w:rPr>
          <w:rFonts w:ascii="Times New Roman" w:hAnsi="Times New Roman" w:cs="Times New Roman"/>
          <w:b w:val="0"/>
        </w:rPr>
        <w:t>OBLICZANI</w:t>
      </w:r>
      <w:r>
        <w:rPr>
          <w:rFonts w:ascii="Times New Roman" w:hAnsi="Times New Roman" w:cs="Times New Roman"/>
          <w:b w:val="0"/>
        </w:rPr>
        <w:t>a</w:t>
      </w:r>
      <w:r w:rsidR="00E266C3" w:rsidRPr="00EC4281">
        <w:rPr>
          <w:rFonts w:ascii="Times New Roman" w:hAnsi="Times New Roman" w:cs="Times New Roman"/>
          <w:b w:val="0"/>
        </w:rPr>
        <w:t xml:space="preserve"> TERMINALOWYCH JEDNOSTEK USŁUGOWYCH</w:t>
      </w:r>
    </w:p>
    <w:p w:rsidR="00E266C3" w:rsidRPr="00EC4281" w:rsidRDefault="00E266C3" w:rsidP="005C28A9">
      <w:pPr>
        <w:spacing w:line="276" w:lineRule="auto"/>
      </w:pPr>
    </w:p>
    <w:p w:rsidR="00E266C3" w:rsidRPr="00EC4281" w:rsidRDefault="00E266C3" w:rsidP="0073171D">
      <w:pPr>
        <w:pStyle w:val="ZARTzmartartykuempunktem"/>
        <w:spacing w:line="276" w:lineRule="auto"/>
        <w:ind w:left="0"/>
        <w:rPr>
          <w:rFonts w:ascii="Times New Roman" w:hAnsi="Times New Roman" w:cs="Times New Roman"/>
          <w:szCs w:val="24"/>
        </w:rPr>
      </w:pPr>
      <w:r w:rsidRPr="00EC4281">
        <w:rPr>
          <w:rFonts w:ascii="Times New Roman" w:hAnsi="Times New Roman" w:cs="Times New Roman"/>
          <w:szCs w:val="24"/>
        </w:rPr>
        <w:t>1. Terminalowa jednostka usługowa równa jest czynnikowi masy dla danego statku powietrznego.</w:t>
      </w:r>
    </w:p>
    <w:p w:rsidR="00E266C3" w:rsidRPr="00EC4281" w:rsidRDefault="00E266C3" w:rsidP="0073171D">
      <w:pPr>
        <w:pStyle w:val="ZARTzmartartykuempunktem"/>
        <w:spacing w:line="276" w:lineRule="auto"/>
        <w:ind w:left="0"/>
        <w:rPr>
          <w:rFonts w:ascii="Times New Roman" w:hAnsi="Times New Roman" w:cs="Times New Roman"/>
          <w:szCs w:val="24"/>
        </w:rPr>
      </w:pPr>
      <w:r w:rsidRPr="00EC4281">
        <w:rPr>
          <w:rFonts w:ascii="Times New Roman" w:hAnsi="Times New Roman" w:cs="Times New Roman"/>
          <w:szCs w:val="24"/>
        </w:rPr>
        <w:t>2. Czynnik masy, wyrażony z dokładnością do dwóch miejsc po przecinku, oblicza się jako iloraz uzyskany przez podzielenie przez pięćdziesiąt ilości ton metrycznych stanowiącej maksymalną masę startową danego statku powietrznego podniesiony do potęgi 0,7.</w:t>
      </w:r>
    </w:p>
    <w:p w:rsidR="00E266C3" w:rsidRPr="00EC4281" w:rsidRDefault="00E266C3" w:rsidP="0073171D">
      <w:pPr>
        <w:pStyle w:val="ZARTzmartartykuempunktem"/>
        <w:spacing w:line="276" w:lineRule="auto"/>
        <w:ind w:left="0"/>
        <w:rPr>
          <w:rFonts w:ascii="Times New Roman" w:hAnsi="Times New Roman" w:cs="Times New Roman"/>
          <w:szCs w:val="24"/>
        </w:rPr>
      </w:pPr>
      <w:r w:rsidRPr="00EC4281">
        <w:rPr>
          <w:rFonts w:ascii="Times New Roman" w:hAnsi="Times New Roman" w:cs="Times New Roman"/>
          <w:szCs w:val="24"/>
        </w:rPr>
        <w:t xml:space="preserve">3. Przez maksymalną masę startową danego statku powietrznego należy rozumieć maksymalną masę startową wskazaną </w:t>
      </w:r>
      <w:r w:rsidR="00B30A97">
        <w:rPr>
          <w:rFonts w:ascii="Times New Roman" w:hAnsi="Times New Roman" w:cs="Times New Roman"/>
          <w:szCs w:val="24"/>
        </w:rPr>
        <w:t xml:space="preserve">w </w:t>
      </w:r>
      <w:r w:rsidR="00931E3C">
        <w:rPr>
          <w:rFonts w:ascii="Times New Roman" w:hAnsi="Times New Roman" w:cs="Times New Roman"/>
          <w:szCs w:val="24"/>
        </w:rPr>
        <w:t>instrukcji użytkowania w locie statku powietrznego (AFM)</w:t>
      </w:r>
      <w:r w:rsidRPr="00EC4281">
        <w:rPr>
          <w:rFonts w:ascii="Times New Roman" w:hAnsi="Times New Roman" w:cs="Times New Roman"/>
          <w:szCs w:val="24"/>
        </w:rPr>
        <w:t xml:space="preserve"> </w:t>
      </w:r>
      <w:r w:rsidR="008D1AE0" w:rsidRPr="00EC4281">
        <w:rPr>
          <w:rFonts w:ascii="Times New Roman" w:hAnsi="Times New Roman" w:cs="Times New Roman"/>
          <w:szCs w:val="24"/>
        </w:rPr>
        <w:t>przedstawion</w:t>
      </w:r>
      <w:r w:rsidR="008D1AE0">
        <w:rPr>
          <w:rFonts w:ascii="Times New Roman" w:hAnsi="Times New Roman" w:cs="Times New Roman"/>
          <w:szCs w:val="24"/>
        </w:rPr>
        <w:t>ej</w:t>
      </w:r>
      <w:r w:rsidR="008D1AE0" w:rsidRPr="00EC4281">
        <w:rPr>
          <w:rFonts w:ascii="Times New Roman" w:hAnsi="Times New Roman" w:cs="Times New Roman"/>
          <w:szCs w:val="24"/>
        </w:rPr>
        <w:t xml:space="preserve"> </w:t>
      </w:r>
      <w:r w:rsidRPr="00EC4281">
        <w:rPr>
          <w:rFonts w:ascii="Times New Roman" w:hAnsi="Times New Roman" w:cs="Times New Roman"/>
          <w:szCs w:val="24"/>
        </w:rPr>
        <w:t>przez podmiot eksploatujący dany statek powietrzny. Je</w:t>
      </w:r>
      <w:r w:rsidR="00532D6C" w:rsidRPr="00EC4281">
        <w:rPr>
          <w:rFonts w:ascii="Times New Roman" w:hAnsi="Times New Roman" w:cs="Times New Roman"/>
          <w:szCs w:val="24"/>
        </w:rPr>
        <w:t>że</w:t>
      </w:r>
      <w:r w:rsidRPr="00EC4281">
        <w:rPr>
          <w:rFonts w:ascii="Times New Roman" w:hAnsi="Times New Roman" w:cs="Times New Roman"/>
          <w:szCs w:val="24"/>
        </w:rPr>
        <w:t>li wartość ta nie jest znana, stosuje się masę najcięższych znanych statków powietrznych tego samego typu. Je</w:t>
      </w:r>
      <w:r w:rsidR="0061703F">
        <w:rPr>
          <w:rFonts w:ascii="Times New Roman" w:hAnsi="Times New Roman" w:cs="Times New Roman"/>
          <w:szCs w:val="24"/>
        </w:rPr>
        <w:t>że</w:t>
      </w:r>
      <w:r w:rsidRPr="00EC4281">
        <w:rPr>
          <w:rFonts w:ascii="Times New Roman" w:hAnsi="Times New Roman" w:cs="Times New Roman"/>
          <w:szCs w:val="24"/>
        </w:rPr>
        <w:t xml:space="preserve">li dany statek powietrzny ma w certyfikacie podanych kilka maksymalnych mas startowych, stosuje się największą z nich. </w:t>
      </w:r>
    </w:p>
    <w:p w:rsidR="00E266C3" w:rsidRPr="005C28A9" w:rsidRDefault="002E45F1" w:rsidP="0073171D">
      <w:pPr>
        <w:pStyle w:val="ZARTzmartartykuempunktem"/>
        <w:spacing w:line="276" w:lineRule="auto"/>
        <w:ind w:left="0"/>
      </w:pPr>
      <w:r>
        <w:rPr>
          <w:rFonts w:ascii="Times New Roman" w:hAnsi="Times New Roman" w:cs="Times New Roman"/>
          <w:szCs w:val="24"/>
        </w:rPr>
        <w:t>4.</w:t>
      </w:r>
      <w:r w:rsidR="00BE2ADF">
        <w:rPr>
          <w:rFonts w:ascii="Times New Roman" w:hAnsi="Times New Roman" w:cs="Times New Roman"/>
          <w:szCs w:val="24"/>
        </w:rPr>
        <w:t xml:space="preserve"> </w:t>
      </w:r>
      <w:r w:rsidR="00E266C3" w:rsidRPr="00EC4281">
        <w:rPr>
          <w:rFonts w:ascii="Times New Roman" w:hAnsi="Times New Roman" w:cs="Times New Roman"/>
          <w:szCs w:val="24"/>
        </w:rPr>
        <w:t xml:space="preserve">Obliczeń czynnika masy dla poszczególnych statków powietrznych podmiotów eksploatujących dokonuje się </w:t>
      </w:r>
      <w:r w:rsidR="00B30A97">
        <w:rPr>
          <w:rFonts w:ascii="Times New Roman" w:hAnsi="Times New Roman" w:cs="Times New Roman"/>
          <w:szCs w:val="24"/>
        </w:rPr>
        <w:t>co najmniej</w:t>
      </w:r>
      <w:r w:rsidR="00B30A97" w:rsidRPr="00EC4281">
        <w:rPr>
          <w:rFonts w:ascii="Times New Roman" w:hAnsi="Times New Roman" w:cs="Times New Roman"/>
          <w:szCs w:val="24"/>
        </w:rPr>
        <w:t xml:space="preserve"> </w:t>
      </w:r>
      <w:r w:rsidR="00E266C3" w:rsidRPr="00EC4281">
        <w:rPr>
          <w:rFonts w:ascii="Times New Roman" w:hAnsi="Times New Roman" w:cs="Times New Roman"/>
          <w:szCs w:val="24"/>
        </w:rPr>
        <w:t>raz do roku.</w:t>
      </w:r>
    </w:p>
    <w:p w:rsidR="00657CA0" w:rsidRPr="008C450E" w:rsidRDefault="00657CA0" w:rsidP="008C450E">
      <w:pPr>
        <w:spacing w:after="120" w:line="276" w:lineRule="auto"/>
        <w:jc w:val="both"/>
        <w:rPr>
          <w:sz w:val="22"/>
          <w:szCs w:val="22"/>
        </w:rPr>
      </w:pPr>
    </w:p>
    <w:sectPr w:rsidR="00657CA0" w:rsidRPr="008C450E" w:rsidSect="007B0E8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30F63" w16cex:dateUtc="2020-04-28T18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75700F0" w16cid:durableId="22530EB7"/>
  <w16cid:commentId w16cid:paraId="0CE7326D" w16cid:durableId="22530F63"/>
  <w16cid:commentId w16cid:paraId="2B9B58A8" w16cid:durableId="22530EB9"/>
  <w16cid:commentId w16cid:paraId="01A500D3" w16cid:durableId="22530EBA"/>
  <w16cid:commentId w16cid:paraId="321D3F52" w16cid:durableId="22530EBB"/>
  <w16cid:commentId w16cid:paraId="27130E20" w16cid:durableId="22530EBC"/>
  <w16cid:commentId w16cid:paraId="21119EBB" w16cid:durableId="22530EBD"/>
  <w16cid:commentId w16cid:paraId="3C033780" w16cid:durableId="22530EBE"/>
  <w16cid:commentId w16cid:paraId="6274F73C" w16cid:durableId="22530EBF"/>
  <w16cid:commentId w16cid:paraId="3C3DB720" w16cid:durableId="22530EC0"/>
  <w16cid:commentId w16cid:paraId="26A729E8" w16cid:durableId="22530EC1"/>
  <w16cid:commentId w16cid:paraId="1734D9BD" w16cid:durableId="22530EC2"/>
  <w16cid:commentId w16cid:paraId="6191EA6B" w16cid:durableId="22530EC3"/>
  <w16cid:commentId w16cid:paraId="7D9EEA8B" w16cid:durableId="22530EC4"/>
  <w16cid:commentId w16cid:paraId="5498D952" w16cid:durableId="22530EC5"/>
  <w16cid:commentId w16cid:paraId="35DB0501" w16cid:durableId="22530EC6"/>
  <w16cid:commentId w16cid:paraId="2E5BD40D" w16cid:durableId="22530EC7"/>
  <w16cid:commentId w16cid:paraId="5A8A8054" w16cid:durableId="22530EC8"/>
  <w16cid:commentId w16cid:paraId="0E6A0FFA" w16cid:durableId="22530EC9"/>
  <w16cid:commentId w16cid:paraId="406D012F" w16cid:durableId="22530ECA"/>
  <w16cid:commentId w16cid:paraId="30D33AF2" w16cid:durableId="22530ECB"/>
  <w16cid:commentId w16cid:paraId="6EF13250" w16cid:durableId="22530ECC"/>
  <w16cid:commentId w16cid:paraId="3624076C" w16cid:durableId="22530ECD"/>
  <w16cid:commentId w16cid:paraId="1E724F8D" w16cid:durableId="22530ECE"/>
  <w16cid:commentId w16cid:paraId="22629137" w16cid:durableId="22530ECF"/>
  <w16cid:commentId w16cid:paraId="3A69BF47" w16cid:durableId="22530ED0"/>
  <w16cid:commentId w16cid:paraId="05DBC789" w16cid:durableId="22530ED1"/>
  <w16cid:commentId w16cid:paraId="1376CD89" w16cid:durableId="22530ED2"/>
  <w16cid:commentId w16cid:paraId="4FB7CDCC" w16cid:durableId="22530ED3"/>
  <w16cid:commentId w16cid:paraId="5228CDF9" w16cid:durableId="22530ED4"/>
  <w16cid:commentId w16cid:paraId="0272AFF7" w16cid:durableId="22530ED5"/>
  <w16cid:commentId w16cid:paraId="0295C713" w16cid:durableId="22530ED6"/>
  <w16cid:commentId w16cid:paraId="52BF7D6B" w16cid:durableId="22530ED7"/>
  <w16cid:commentId w16cid:paraId="5B8283D9" w16cid:durableId="22530ED8"/>
  <w16cid:commentId w16cid:paraId="3908F4B3" w16cid:durableId="22530ED9"/>
  <w16cid:commentId w16cid:paraId="5C6F0D46" w16cid:durableId="22530EDA"/>
  <w16cid:commentId w16cid:paraId="2B5D23AD" w16cid:durableId="22530EDB"/>
  <w16cid:commentId w16cid:paraId="24A165BC" w16cid:durableId="22530EDC"/>
  <w16cid:commentId w16cid:paraId="5EC89976" w16cid:durableId="22530EDD"/>
  <w16cid:commentId w16cid:paraId="40F3C126" w16cid:durableId="22530EDE"/>
  <w16cid:commentId w16cid:paraId="7CEC716B" w16cid:durableId="22530EDF"/>
  <w16cid:commentId w16cid:paraId="35C1E2B8" w16cid:durableId="22530EE0"/>
  <w16cid:commentId w16cid:paraId="6F9F5CFE" w16cid:durableId="22530EE1"/>
  <w16cid:commentId w16cid:paraId="4FBF8072" w16cid:durableId="22530EE2"/>
  <w16cid:commentId w16cid:paraId="67AD46DE" w16cid:durableId="22530EE3"/>
  <w16cid:commentId w16cid:paraId="7D8494BA" w16cid:durableId="22530EE4"/>
  <w16cid:commentId w16cid:paraId="27A03AD7" w16cid:durableId="22530EE5"/>
  <w16cid:commentId w16cid:paraId="48FE0C58" w16cid:durableId="22530EE6"/>
  <w16cid:commentId w16cid:paraId="64DB7047" w16cid:durableId="22530EE7"/>
  <w16cid:commentId w16cid:paraId="516F417D" w16cid:durableId="22530EE8"/>
  <w16cid:commentId w16cid:paraId="37919819" w16cid:durableId="22530EE9"/>
  <w16cid:commentId w16cid:paraId="4D5DEA77" w16cid:durableId="22530EEA"/>
  <w16cid:commentId w16cid:paraId="26F8C77A" w16cid:durableId="22530EE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9DF" w:rsidRDefault="004579DF" w:rsidP="00E266C3">
      <w:r>
        <w:separator/>
      </w:r>
    </w:p>
  </w:endnote>
  <w:endnote w:type="continuationSeparator" w:id="0">
    <w:p w:rsidR="004579DF" w:rsidRDefault="004579DF" w:rsidP="00E266C3">
      <w:r>
        <w:continuationSeparator/>
      </w:r>
    </w:p>
  </w:endnote>
  <w:endnote w:type="continuationNotice" w:id="1">
    <w:p w:rsidR="004579DF" w:rsidRDefault="004579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9DF" w:rsidRDefault="004579DF" w:rsidP="00E266C3">
      <w:r>
        <w:separator/>
      </w:r>
    </w:p>
  </w:footnote>
  <w:footnote w:type="continuationSeparator" w:id="0">
    <w:p w:rsidR="004579DF" w:rsidRDefault="004579DF" w:rsidP="00E266C3">
      <w:r>
        <w:continuationSeparator/>
      </w:r>
    </w:p>
  </w:footnote>
  <w:footnote w:type="continuationNotice" w:id="1">
    <w:p w:rsidR="004579DF" w:rsidRDefault="004579D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D2298"/>
    <w:multiLevelType w:val="multilevel"/>
    <w:tmpl w:val="AAF0241A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" w15:restartNumberingAfterBreak="0">
    <w:nsid w:val="04487D4C"/>
    <w:multiLevelType w:val="hybridMultilevel"/>
    <w:tmpl w:val="DDD60A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002D56"/>
    <w:multiLevelType w:val="hybridMultilevel"/>
    <w:tmpl w:val="3DB225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875C0"/>
    <w:multiLevelType w:val="hybridMultilevel"/>
    <w:tmpl w:val="52BC57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602DC"/>
    <w:multiLevelType w:val="hybridMultilevel"/>
    <w:tmpl w:val="BC7677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B6AE6"/>
    <w:multiLevelType w:val="hybridMultilevel"/>
    <w:tmpl w:val="A2B0E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551EC"/>
    <w:multiLevelType w:val="hybridMultilevel"/>
    <w:tmpl w:val="F7F414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3335C"/>
    <w:multiLevelType w:val="hybridMultilevel"/>
    <w:tmpl w:val="18D28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624D4"/>
    <w:multiLevelType w:val="hybridMultilevel"/>
    <w:tmpl w:val="3DD6AE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70560"/>
    <w:multiLevelType w:val="hybridMultilevel"/>
    <w:tmpl w:val="BB86B7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20B03"/>
    <w:multiLevelType w:val="hybridMultilevel"/>
    <w:tmpl w:val="B4C6C0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D5DAB"/>
    <w:multiLevelType w:val="multilevel"/>
    <w:tmpl w:val="64382C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F0F71"/>
    <w:multiLevelType w:val="hybridMultilevel"/>
    <w:tmpl w:val="C19AB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021CC"/>
    <w:multiLevelType w:val="hybridMultilevel"/>
    <w:tmpl w:val="5A6EB7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9"/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 w:numId="9">
    <w:abstractNumId w:val="6"/>
  </w:num>
  <w:num w:numId="10">
    <w:abstractNumId w:val="1"/>
  </w:num>
  <w:num w:numId="11">
    <w:abstractNumId w:val="13"/>
  </w:num>
  <w:num w:numId="12">
    <w:abstractNumId w:val="11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6C3"/>
    <w:rsid w:val="00007AEB"/>
    <w:rsid w:val="00011E59"/>
    <w:rsid w:val="00013BEB"/>
    <w:rsid w:val="00017AB3"/>
    <w:rsid w:val="00017E1D"/>
    <w:rsid w:val="000205B0"/>
    <w:rsid w:val="000303EA"/>
    <w:rsid w:val="00030434"/>
    <w:rsid w:val="0003274E"/>
    <w:rsid w:val="00035DA5"/>
    <w:rsid w:val="00036160"/>
    <w:rsid w:val="000403E7"/>
    <w:rsid w:val="0004323C"/>
    <w:rsid w:val="00044F2D"/>
    <w:rsid w:val="0004679D"/>
    <w:rsid w:val="000508B8"/>
    <w:rsid w:val="00056E89"/>
    <w:rsid w:val="00061FDF"/>
    <w:rsid w:val="00062407"/>
    <w:rsid w:val="00062C9B"/>
    <w:rsid w:val="0006460A"/>
    <w:rsid w:val="00064A10"/>
    <w:rsid w:val="00074CF1"/>
    <w:rsid w:val="000775B8"/>
    <w:rsid w:val="000849D1"/>
    <w:rsid w:val="000876E4"/>
    <w:rsid w:val="00090EB9"/>
    <w:rsid w:val="00092F76"/>
    <w:rsid w:val="000979F6"/>
    <w:rsid w:val="000A4EA2"/>
    <w:rsid w:val="000A5728"/>
    <w:rsid w:val="000A6616"/>
    <w:rsid w:val="000A6AD1"/>
    <w:rsid w:val="000A6EE9"/>
    <w:rsid w:val="000B0E0D"/>
    <w:rsid w:val="000B3F41"/>
    <w:rsid w:val="000B4A00"/>
    <w:rsid w:val="000C1A59"/>
    <w:rsid w:val="000C344C"/>
    <w:rsid w:val="000C68AC"/>
    <w:rsid w:val="000D32C4"/>
    <w:rsid w:val="000D4CE0"/>
    <w:rsid w:val="000D5803"/>
    <w:rsid w:val="000D6066"/>
    <w:rsid w:val="000E0758"/>
    <w:rsid w:val="000E0A95"/>
    <w:rsid w:val="000E1249"/>
    <w:rsid w:val="000E5216"/>
    <w:rsid w:val="000E6B57"/>
    <w:rsid w:val="000F116F"/>
    <w:rsid w:val="000F2A40"/>
    <w:rsid w:val="001014F7"/>
    <w:rsid w:val="00102C60"/>
    <w:rsid w:val="0010374D"/>
    <w:rsid w:val="00111191"/>
    <w:rsid w:val="001123FB"/>
    <w:rsid w:val="0011517A"/>
    <w:rsid w:val="00116390"/>
    <w:rsid w:val="00122657"/>
    <w:rsid w:val="00133EB8"/>
    <w:rsid w:val="00134AA0"/>
    <w:rsid w:val="00135641"/>
    <w:rsid w:val="001356DF"/>
    <w:rsid w:val="001373AD"/>
    <w:rsid w:val="00140CE0"/>
    <w:rsid w:val="0014379C"/>
    <w:rsid w:val="0014761E"/>
    <w:rsid w:val="00150F5C"/>
    <w:rsid w:val="001603D7"/>
    <w:rsid w:val="00163F41"/>
    <w:rsid w:val="001652F4"/>
    <w:rsid w:val="001675A0"/>
    <w:rsid w:val="00170D89"/>
    <w:rsid w:val="00171372"/>
    <w:rsid w:val="00176D27"/>
    <w:rsid w:val="00177A0D"/>
    <w:rsid w:val="0018161D"/>
    <w:rsid w:val="00182B8F"/>
    <w:rsid w:val="00182D45"/>
    <w:rsid w:val="00183E3B"/>
    <w:rsid w:val="001930A7"/>
    <w:rsid w:val="00196CF2"/>
    <w:rsid w:val="00197B24"/>
    <w:rsid w:val="001A05DA"/>
    <w:rsid w:val="001A7C9E"/>
    <w:rsid w:val="001B434D"/>
    <w:rsid w:val="001B54CC"/>
    <w:rsid w:val="001C04AD"/>
    <w:rsid w:val="001C1A5F"/>
    <w:rsid w:val="001C2102"/>
    <w:rsid w:val="001C4A16"/>
    <w:rsid w:val="001C657F"/>
    <w:rsid w:val="001D0A26"/>
    <w:rsid w:val="001D0B20"/>
    <w:rsid w:val="001D4EB2"/>
    <w:rsid w:val="001E1217"/>
    <w:rsid w:val="001E2789"/>
    <w:rsid w:val="001F2846"/>
    <w:rsid w:val="00202C78"/>
    <w:rsid w:val="002043A9"/>
    <w:rsid w:val="00207B25"/>
    <w:rsid w:val="00217E20"/>
    <w:rsid w:val="00221B41"/>
    <w:rsid w:val="00221BED"/>
    <w:rsid w:val="00222BEC"/>
    <w:rsid w:val="00223D02"/>
    <w:rsid w:val="002259F6"/>
    <w:rsid w:val="00231E3B"/>
    <w:rsid w:val="00236F7E"/>
    <w:rsid w:val="00242366"/>
    <w:rsid w:val="00246AE7"/>
    <w:rsid w:val="00253734"/>
    <w:rsid w:val="00254345"/>
    <w:rsid w:val="002654A5"/>
    <w:rsid w:val="002656AC"/>
    <w:rsid w:val="00266978"/>
    <w:rsid w:val="00267DCC"/>
    <w:rsid w:val="00276255"/>
    <w:rsid w:val="00283150"/>
    <w:rsid w:val="00291961"/>
    <w:rsid w:val="00292E17"/>
    <w:rsid w:val="002A1353"/>
    <w:rsid w:val="002A3549"/>
    <w:rsid w:val="002A3A83"/>
    <w:rsid w:val="002B04D5"/>
    <w:rsid w:val="002B5016"/>
    <w:rsid w:val="002B7865"/>
    <w:rsid w:val="002C1AC4"/>
    <w:rsid w:val="002C2024"/>
    <w:rsid w:val="002C481D"/>
    <w:rsid w:val="002C71C6"/>
    <w:rsid w:val="002D3D10"/>
    <w:rsid w:val="002D714C"/>
    <w:rsid w:val="002E295D"/>
    <w:rsid w:val="002E2EEF"/>
    <w:rsid w:val="002E3C76"/>
    <w:rsid w:val="002E45F1"/>
    <w:rsid w:val="002E5B03"/>
    <w:rsid w:val="002E65CD"/>
    <w:rsid w:val="002E73ED"/>
    <w:rsid w:val="002E764A"/>
    <w:rsid w:val="002F19B4"/>
    <w:rsid w:val="00301E3B"/>
    <w:rsid w:val="00304C21"/>
    <w:rsid w:val="003054C0"/>
    <w:rsid w:val="0030612C"/>
    <w:rsid w:val="00307BBC"/>
    <w:rsid w:val="003143F4"/>
    <w:rsid w:val="00315108"/>
    <w:rsid w:val="00322367"/>
    <w:rsid w:val="0032299C"/>
    <w:rsid w:val="00322FD5"/>
    <w:rsid w:val="0032358B"/>
    <w:rsid w:val="00324327"/>
    <w:rsid w:val="00332EB5"/>
    <w:rsid w:val="00340192"/>
    <w:rsid w:val="00341287"/>
    <w:rsid w:val="003413A1"/>
    <w:rsid w:val="00350784"/>
    <w:rsid w:val="00351D5C"/>
    <w:rsid w:val="00354464"/>
    <w:rsid w:val="003573F1"/>
    <w:rsid w:val="00360443"/>
    <w:rsid w:val="00363CD4"/>
    <w:rsid w:val="00367996"/>
    <w:rsid w:val="00371C82"/>
    <w:rsid w:val="00374EB7"/>
    <w:rsid w:val="003763AE"/>
    <w:rsid w:val="00382365"/>
    <w:rsid w:val="00384369"/>
    <w:rsid w:val="00387149"/>
    <w:rsid w:val="0039057C"/>
    <w:rsid w:val="003914F9"/>
    <w:rsid w:val="00392E39"/>
    <w:rsid w:val="00394486"/>
    <w:rsid w:val="003A0114"/>
    <w:rsid w:val="003A059C"/>
    <w:rsid w:val="003A663F"/>
    <w:rsid w:val="003B5A51"/>
    <w:rsid w:val="003C09C7"/>
    <w:rsid w:val="003D551A"/>
    <w:rsid w:val="003E09DF"/>
    <w:rsid w:val="003F2B62"/>
    <w:rsid w:val="00402F03"/>
    <w:rsid w:val="00403F01"/>
    <w:rsid w:val="0040403F"/>
    <w:rsid w:val="0041133E"/>
    <w:rsid w:val="0041522F"/>
    <w:rsid w:val="00417247"/>
    <w:rsid w:val="0042267F"/>
    <w:rsid w:val="00423634"/>
    <w:rsid w:val="00423685"/>
    <w:rsid w:val="004239B9"/>
    <w:rsid w:val="00425003"/>
    <w:rsid w:val="0042611D"/>
    <w:rsid w:val="004306DB"/>
    <w:rsid w:val="00430BEA"/>
    <w:rsid w:val="00430FCA"/>
    <w:rsid w:val="004323E0"/>
    <w:rsid w:val="00433237"/>
    <w:rsid w:val="0043591A"/>
    <w:rsid w:val="0044089A"/>
    <w:rsid w:val="00444E20"/>
    <w:rsid w:val="0045022A"/>
    <w:rsid w:val="00450370"/>
    <w:rsid w:val="00451C5E"/>
    <w:rsid w:val="00451DAC"/>
    <w:rsid w:val="004526FD"/>
    <w:rsid w:val="00455F40"/>
    <w:rsid w:val="00456EE4"/>
    <w:rsid w:val="004579DF"/>
    <w:rsid w:val="004624A1"/>
    <w:rsid w:val="0046636F"/>
    <w:rsid w:val="00471B10"/>
    <w:rsid w:val="00472054"/>
    <w:rsid w:val="00477F9C"/>
    <w:rsid w:val="00480E01"/>
    <w:rsid w:val="00484C71"/>
    <w:rsid w:val="00486153"/>
    <w:rsid w:val="0048693C"/>
    <w:rsid w:val="004871F8"/>
    <w:rsid w:val="0048755C"/>
    <w:rsid w:val="00487ADD"/>
    <w:rsid w:val="00490891"/>
    <w:rsid w:val="004927CC"/>
    <w:rsid w:val="004974DD"/>
    <w:rsid w:val="004A0618"/>
    <w:rsid w:val="004B10F5"/>
    <w:rsid w:val="004B30E5"/>
    <w:rsid w:val="004C0382"/>
    <w:rsid w:val="004C5D8B"/>
    <w:rsid w:val="004C703E"/>
    <w:rsid w:val="004D285D"/>
    <w:rsid w:val="004D64CB"/>
    <w:rsid w:val="004D6F4C"/>
    <w:rsid w:val="004E0244"/>
    <w:rsid w:val="004E5B8C"/>
    <w:rsid w:val="004F1127"/>
    <w:rsid w:val="004F1E9C"/>
    <w:rsid w:val="004F31B1"/>
    <w:rsid w:val="004F6DDC"/>
    <w:rsid w:val="00507E2C"/>
    <w:rsid w:val="00511520"/>
    <w:rsid w:val="00516483"/>
    <w:rsid w:val="0052095E"/>
    <w:rsid w:val="00525F3A"/>
    <w:rsid w:val="00530860"/>
    <w:rsid w:val="00531AD4"/>
    <w:rsid w:val="00532D6C"/>
    <w:rsid w:val="00532ECF"/>
    <w:rsid w:val="00536549"/>
    <w:rsid w:val="005410CD"/>
    <w:rsid w:val="00546D65"/>
    <w:rsid w:val="00551074"/>
    <w:rsid w:val="005537B6"/>
    <w:rsid w:val="005544C0"/>
    <w:rsid w:val="0055557F"/>
    <w:rsid w:val="00556894"/>
    <w:rsid w:val="00560699"/>
    <w:rsid w:val="00562D43"/>
    <w:rsid w:val="00570758"/>
    <w:rsid w:val="005772FD"/>
    <w:rsid w:val="0058233D"/>
    <w:rsid w:val="00582BA2"/>
    <w:rsid w:val="005841FE"/>
    <w:rsid w:val="00585D39"/>
    <w:rsid w:val="00586108"/>
    <w:rsid w:val="00592256"/>
    <w:rsid w:val="005929E1"/>
    <w:rsid w:val="00595E99"/>
    <w:rsid w:val="00597EB0"/>
    <w:rsid w:val="005A0D64"/>
    <w:rsid w:val="005A1975"/>
    <w:rsid w:val="005A1C22"/>
    <w:rsid w:val="005A7CAA"/>
    <w:rsid w:val="005A7D2F"/>
    <w:rsid w:val="005C28A9"/>
    <w:rsid w:val="005D06D4"/>
    <w:rsid w:val="005D08D9"/>
    <w:rsid w:val="005D546E"/>
    <w:rsid w:val="005D5A64"/>
    <w:rsid w:val="005D5D35"/>
    <w:rsid w:val="005F0AC8"/>
    <w:rsid w:val="005F3277"/>
    <w:rsid w:val="005F4EE4"/>
    <w:rsid w:val="005F5C47"/>
    <w:rsid w:val="005F610C"/>
    <w:rsid w:val="0060127E"/>
    <w:rsid w:val="00601EE8"/>
    <w:rsid w:val="00604D3B"/>
    <w:rsid w:val="00606B1C"/>
    <w:rsid w:val="0061072F"/>
    <w:rsid w:val="0061703F"/>
    <w:rsid w:val="00623456"/>
    <w:rsid w:val="006239D3"/>
    <w:rsid w:val="0063251A"/>
    <w:rsid w:val="006406B1"/>
    <w:rsid w:val="0064273A"/>
    <w:rsid w:val="006443A1"/>
    <w:rsid w:val="00645733"/>
    <w:rsid w:val="0064651E"/>
    <w:rsid w:val="00655DB8"/>
    <w:rsid w:val="006563DD"/>
    <w:rsid w:val="00657CA0"/>
    <w:rsid w:val="00660FF6"/>
    <w:rsid w:val="006617A3"/>
    <w:rsid w:val="00661BF3"/>
    <w:rsid w:val="00664352"/>
    <w:rsid w:val="00673D95"/>
    <w:rsid w:val="00676954"/>
    <w:rsid w:val="00681F74"/>
    <w:rsid w:val="0068463B"/>
    <w:rsid w:val="006877AA"/>
    <w:rsid w:val="006910A0"/>
    <w:rsid w:val="006919DC"/>
    <w:rsid w:val="00696BE5"/>
    <w:rsid w:val="006971C0"/>
    <w:rsid w:val="006974E3"/>
    <w:rsid w:val="006A15E4"/>
    <w:rsid w:val="006A3E70"/>
    <w:rsid w:val="006B3BDB"/>
    <w:rsid w:val="006B5314"/>
    <w:rsid w:val="006C2EDB"/>
    <w:rsid w:val="006C3846"/>
    <w:rsid w:val="006C535A"/>
    <w:rsid w:val="006D182B"/>
    <w:rsid w:val="006D4EED"/>
    <w:rsid w:val="006D5960"/>
    <w:rsid w:val="006E5CAE"/>
    <w:rsid w:val="006E6E74"/>
    <w:rsid w:val="006E73D5"/>
    <w:rsid w:val="006F1D41"/>
    <w:rsid w:val="006F4937"/>
    <w:rsid w:val="006F6012"/>
    <w:rsid w:val="0070224B"/>
    <w:rsid w:val="007123CC"/>
    <w:rsid w:val="007123F1"/>
    <w:rsid w:val="00713A9E"/>
    <w:rsid w:val="00714C9E"/>
    <w:rsid w:val="00722D6B"/>
    <w:rsid w:val="00723D6B"/>
    <w:rsid w:val="007248E6"/>
    <w:rsid w:val="0073033D"/>
    <w:rsid w:val="0073171D"/>
    <w:rsid w:val="0073591E"/>
    <w:rsid w:val="00741212"/>
    <w:rsid w:val="00743A66"/>
    <w:rsid w:val="007470A9"/>
    <w:rsid w:val="007556F3"/>
    <w:rsid w:val="00761F8F"/>
    <w:rsid w:val="00764055"/>
    <w:rsid w:val="0076789A"/>
    <w:rsid w:val="00770C7F"/>
    <w:rsid w:val="0077426F"/>
    <w:rsid w:val="00775201"/>
    <w:rsid w:val="0077591E"/>
    <w:rsid w:val="00781AB1"/>
    <w:rsid w:val="00781E67"/>
    <w:rsid w:val="00781F98"/>
    <w:rsid w:val="00784A82"/>
    <w:rsid w:val="00785928"/>
    <w:rsid w:val="00793C5C"/>
    <w:rsid w:val="00794E3B"/>
    <w:rsid w:val="007A054C"/>
    <w:rsid w:val="007A05EE"/>
    <w:rsid w:val="007A0E03"/>
    <w:rsid w:val="007A4639"/>
    <w:rsid w:val="007A7DA0"/>
    <w:rsid w:val="007B0E8E"/>
    <w:rsid w:val="007B25DF"/>
    <w:rsid w:val="007B5FF4"/>
    <w:rsid w:val="007B7C07"/>
    <w:rsid w:val="007C37C4"/>
    <w:rsid w:val="007C4BBF"/>
    <w:rsid w:val="007C682A"/>
    <w:rsid w:val="007C7CFB"/>
    <w:rsid w:val="007D110A"/>
    <w:rsid w:val="007D38BC"/>
    <w:rsid w:val="007D528E"/>
    <w:rsid w:val="007D64CE"/>
    <w:rsid w:val="007E01FB"/>
    <w:rsid w:val="007E3233"/>
    <w:rsid w:val="007E51D0"/>
    <w:rsid w:val="007E627F"/>
    <w:rsid w:val="007F16A4"/>
    <w:rsid w:val="007F1DB4"/>
    <w:rsid w:val="007F35B7"/>
    <w:rsid w:val="00801D54"/>
    <w:rsid w:val="00804250"/>
    <w:rsid w:val="0081056C"/>
    <w:rsid w:val="00810F42"/>
    <w:rsid w:val="008154CF"/>
    <w:rsid w:val="00816566"/>
    <w:rsid w:val="00816E83"/>
    <w:rsid w:val="0081778A"/>
    <w:rsid w:val="00821ADF"/>
    <w:rsid w:val="00823A2E"/>
    <w:rsid w:val="00824A4D"/>
    <w:rsid w:val="008261CA"/>
    <w:rsid w:val="008265FD"/>
    <w:rsid w:val="0083028D"/>
    <w:rsid w:val="008322E7"/>
    <w:rsid w:val="00832BE8"/>
    <w:rsid w:val="00835D44"/>
    <w:rsid w:val="00837AC5"/>
    <w:rsid w:val="00843104"/>
    <w:rsid w:val="008506C5"/>
    <w:rsid w:val="008531C0"/>
    <w:rsid w:val="00856B00"/>
    <w:rsid w:val="00860ADB"/>
    <w:rsid w:val="00873B20"/>
    <w:rsid w:val="008745BB"/>
    <w:rsid w:val="00877C25"/>
    <w:rsid w:val="00880A5D"/>
    <w:rsid w:val="0088275B"/>
    <w:rsid w:val="0088433F"/>
    <w:rsid w:val="0089007F"/>
    <w:rsid w:val="008A22D9"/>
    <w:rsid w:val="008A5EDF"/>
    <w:rsid w:val="008B4D1F"/>
    <w:rsid w:val="008B7F9A"/>
    <w:rsid w:val="008C05B5"/>
    <w:rsid w:val="008C213B"/>
    <w:rsid w:val="008C29CD"/>
    <w:rsid w:val="008C36A0"/>
    <w:rsid w:val="008C450E"/>
    <w:rsid w:val="008C5725"/>
    <w:rsid w:val="008C7131"/>
    <w:rsid w:val="008D0150"/>
    <w:rsid w:val="008D1AE0"/>
    <w:rsid w:val="008D1BA3"/>
    <w:rsid w:val="008D22C2"/>
    <w:rsid w:val="008D2C82"/>
    <w:rsid w:val="008E05FD"/>
    <w:rsid w:val="008E3537"/>
    <w:rsid w:val="0091295C"/>
    <w:rsid w:val="00915225"/>
    <w:rsid w:val="00915BF0"/>
    <w:rsid w:val="00916EDE"/>
    <w:rsid w:val="00917FD1"/>
    <w:rsid w:val="009259FD"/>
    <w:rsid w:val="0093085B"/>
    <w:rsid w:val="00931E3C"/>
    <w:rsid w:val="00933148"/>
    <w:rsid w:val="0093671C"/>
    <w:rsid w:val="009406C6"/>
    <w:rsid w:val="00945978"/>
    <w:rsid w:val="00947C6A"/>
    <w:rsid w:val="009513FC"/>
    <w:rsid w:val="009525F2"/>
    <w:rsid w:val="00952DA1"/>
    <w:rsid w:val="009562A1"/>
    <w:rsid w:val="00957E91"/>
    <w:rsid w:val="00960107"/>
    <w:rsid w:val="009613AD"/>
    <w:rsid w:val="00961E8E"/>
    <w:rsid w:val="009625EC"/>
    <w:rsid w:val="00965E3D"/>
    <w:rsid w:val="00966778"/>
    <w:rsid w:val="00966A61"/>
    <w:rsid w:val="00980AC9"/>
    <w:rsid w:val="009831BC"/>
    <w:rsid w:val="00985D5E"/>
    <w:rsid w:val="00994D35"/>
    <w:rsid w:val="00995BFC"/>
    <w:rsid w:val="009A22AA"/>
    <w:rsid w:val="009A486B"/>
    <w:rsid w:val="009A5690"/>
    <w:rsid w:val="009A763B"/>
    <w:rsid w:val="009A7C10"/>
    <w:rsid w:val="009C0133"/>
    <w:rsid w:val="009C0566"/>
    <w:rsid w:val="009C2E3D"/>
    <w:rsid w:val="009C5D55"/>
    <w:rsid w:val="009C7301"/>
    <w:rsid w:val="009D1A90"/>
    <w:rsid w:val="009D24B8"/>
    <w:rsid w:val="009D2745"/>
    <w:rsid w:val="009D5863"/>
    <w:rsid w:val="009E2D17"/>
    <w:rsid w:val="009E46F5"/>
    <w:rsid w:val="009E63DE"/>
    <w:rsid w:val="009F0616"/>
    <w:rsid w:val="009F2604"/>
    <w:rsid w:val="009F3D5C"/>
    <w:rsid w:val="009F665B"/>
    <w:rsid w:val="00A00528"/>
    <w:rsid w:val="00A02DE1"/>
    <w:rsid w:val="00A06A71"/>
    <w:rsid w:val="00A14D69"/>
    <w:rsid w:val="00A21DBC"/>
    <w:rsid w:val="00A24794"/>
    <w:rsid w:val="00A24809"/>
    <w:rsid w:val="00A27FA2"/>
    <w:rsid w:val="00A30D65"/>
    <w:rsid w:val="00A3550B"/>
    <w:rsid w:val="00A35AFA"/>
    <w:rsid w:val="00A42452"/>
    <w:rsid w:val="00A451D7"/>
    <w:rsid w:val="00A467A4"/>
    <w:rsid w:val="00A474F6"/>
    <w:rsid w:val="00A5111E"/>
    <w:rsid w:val="00A524E7"/>
    <w:rsid w:val="00A52882"/>
    <w:rsid w:val="00A52964"/>
    <w:rsid w:val="00A54078"/>
    <w:rsid w:val="00A56163"/>
    <w:rsid w:val="00A65A89"/>
    <w:rsid w:val="00A65CB4"/>
    <w:rsid w:val="00A74CD2"/>
    <w:rsid w:val="00A756AB"/>
    <w:rsid w:val="00A7575D"/>
    <w:rsid w:val="00A76F8A"/>
    <w:rsid w:val="00A77F99"/>
    <w:rsid w:val="00A82A2C"/>
    <w:rsid w:val="00A8374B"/>
    <w:rsid w:val="00A95631"/>
    <w:rsid w:val="00A96538"/>
    <w:rsid w:val="00AA4832"/>
    <w:rsid w:val="00AB4FEC"/>
    <w:rsid w:val="00AB6049"/>
    <w:rsid w:val="00AC1B68"/>
    <w:rsid w:val="00AD3C06"/>
    <w:rsid w:val="00AD427C"/>
    <w:rsid w:val="00AD457E"/>
    <w:rsid w:val="00AD598C"/>
    <w:rsid w:val="00AD6929"/>
    <w:rsid w:val="00AF25E4"/>
    <w:rsid w:val="00AF3802"/>
    <w:rsid w:val="00AF3B0A"/>
    <w:rsid w:val="00AF5C0A"/>
    <w:rsid w:val="00B00C91"/>
    <w:rsid w:val="00B022F4"/>
    <w:rsid w:val="00B05173"/>
    <w:rsid w:val="00B0753F"/>
    <w:rsid w:val="00B12769"/>
    <w:rsid w:val="00B30A97"/>
    <w:rsid w:val="00B32EA0"/>
    <w:rsid w:val="00B333DD"/>
    <w:rsid w:val="00B33783"/>
    <w:rsid w:val="00B34D5D"/>
    <w:rsid w:val="00B57385"/>
    <w:rsid w:val="00B57FAF"/>
    <w:rsid w:val="00B606E1"/>
    <w:rsid w:val="00B63D44"/>
    <w:rsid w:val="00B64AF5"/>
    <w:rsid w:val="00B65827"/>
    <w:rsid w:val="00B6657B"/>
    <w:rsid w:val="00B70257"/>
    <w:rsid w:val="00B707BF"/>
    <w:rsid w:val="00B75249"/>
    <w:rsid w:val="00B76F4E"/>
    <w:rsid w:val="00B80D8A"/>
    <w:rsid w:val="00B8294B"/>
    <w:rsid w:val="00B87D21"/>
    <w:rsid w:val="00B90E72"/>
    <w:rsid w:val="00B9281A"/>
    <w:rsid w:val="00B96C8F"/>
    <w:rsid w:val="00B96CAC"/>
    <w:rsid w:val="00BA1032"/>
    <w:rsid w:val="00BA2CFB"/>
    <w:rsid w:val="00BA3349"/>
    <w:rsid w:val="00BA3A09"/>
    <w:rsid w:val="00BA5739"/>
    <w:rsid w:val="00BB2903"/>
    <w:rsid w:val="00BB42C8"/>
    <w:rsid w:val="00BB61FF"/>
    <w:rsid w:val="00BB69E0"/>
    <w:rsid w:val="00BC1FCD"/>
    <w:rsid w:val="00BD69AA"/>
    <w:rsid w:val="00BD7DCD"/>
    <w:rsid w:val="00BE014F"/>
    <w:rsid w:val="00BE1828"/>
    <w:rsid w:val="00BE289B"/>
    <w:rsid w:val="00BE2ADF"/>
    <w:rsid w:val="00BE31C1"/>
    <w:rsid w:val="00BE463F"/>
    <w:rsid w:val="00BE5F23"/>
    <w:rsid w:val="00BE6F6F"/>
    <w:rsid w:val="00BF495D"/>
    <w:rsid w:val="00BF5132"/>
    <w:rsid w:val="00C01304"/>
    <w:rsid w:val="00C017A9"/>
    <w:rsid w:val="00C07678"/>
    <w:rsid w:val="00C10664"/>
    <w:rsid w:val="00C11EEC"/>
    <w:rsid w:val="00C16DA9"/>
    <w:rsid w:val="00C17091"/>
    <w:rsid w:val="00C2307E"/>
    <w:rsid w:val="00C26C3F"/>
    <w:rsid w:val="00C33F03"/>
    <w:rsid w:val="00C34B07"/>
    <w:rsid w:val="00C424C4"/>
    <w:rsid w:val="00C439A5"/>
    <w:rsid w:val="00C46EA3"/>
    <w:rsid w:val="00C519DE"/>
    <w:rsid w:val="00C56C4A"/>
    <w:rsid w:val="00C64B39"/>
    <w:rsid w:val="00C659C9"/>
    <w:rsid w:val="00C66434"/>
    <w:rsid w:val="00C71D88"/>
    <w:rsid w:val="00C75F47"/>
    <w:rsid w:val="00C84617"/>
    <w:rsid w:val="00C91695"/>
    <w:rsid w:val="00C93776"/>
    <w:rsid w:val="00C94209"/>
    <w:rsid w:val="00CA684F"/>
    <w:rsid w:val="00CA6D8F"/>
    <w:rsid w:val="00CB054A"/>
    <w:rsid w:val="00CB694E"/>
    <w:rsid w:val="00CB6EDC"/>
    <w:rsid w:val="00CC33DB"/>
    <w:rsid w:val="00CC3873"/>
    <w:rsid w:val="00CC50F5"/>
    <w:rsid w:val="00CD3951"/>
    <w:rsid w:val="00CD3C0A"/>
    <w:rsid w:val="00CD7CC3"/>
    <w:rsid w:val="00CD7F86"/>
    <w:rsid w:val="00CE1C7A"/>
    <w:rsid w:val="00CE272D"/>
    <w:rsid w:val="00CE2A1A"/>
    <w:rsid w:val="00CE35E1"/>
    <w:rsid w:val="00CE7480"/>
    <w:rsid w:val="00CF5663"/>
    <w:rsid w:val="00D02E61"/>
    <w:rsid w:val="00D048F8"/>
    <w:rsid w:val="00D06E43"/>
    <w:rsid w:val="00D10A6D"/>
    <w:rsid w:val="00D12A0D"/>
    <w:rsid w:val="00D1531D"/>
    <w:rsid w:val="00D23265"/>
    <w:rsid w:val="00D24395"/>
    <w:rsid w:val="00D254C1"/>
    <w:rsid w:val="00D27BF4"/>
    <w:rsid w:val="00D27C27"/>
    <w:rsid w:val="00D30655"/>
    <w:rsid w:val="00D30DFB"/>
    <w:rsid w:val="00D335FB"/>
    <w:rsid w:val="00D440B3"/>
    <w:rsid w:val="00D50BAB"/>
    <w:rsid w:val="00D51B91"/>
    <w:rsid w:val="00D64081"/>
    <w:rsid w:val="00D65C3A"/>
    <w:rsid w:val="00D66FA2"/>
    <w:rsid w:val="00D6779B"/>
    <w:rsid w:val="00D701BB"/>
    <w:rsid w:val="00D7169D"/>
    <w:rsid w:val="00D733C0"/>
    <w:rsid w:val="00D86492"/>
    <w:rsid w:val="00D92E8B"/>
    <w:rsid w:val="00DA11CD"/>
    <w:rsid w:val="00DA29D4"/>
    <w:rsid w:val="00DA3094"/>
    <w:rsid w:val="00DA47EB"/>
    <w:rsid w:val="00DB56B6"/>
    <w:rsid w:val="00DB6F41"/>
    <w:rsid w:val="00DB7E07"/>
    <w:rsid w:val="00DC0F4E"/>
    <w:rsid w:val="00DC2C79"/>
    <w:rsid w:val="00DC33AC"/>
    <w:rsid w:val="00DC6A8F"/>
    <w:rsid w:val="00DC722F"/>
    <w:rsid w:val="00DD1AEF"/>
    <w:rsid w:val="00DE0CFF"/>
    <w:rsid w:val="00DE3F65"/>
    <w:rsid w:val="00DE560A"/>
    <w:rsid w:val="00DE63D1"/>
    <w:rsid w:val="00DE7531"/>
    <w:rsid w:val="00DF3253"/>
    <w:rsid w:val="00DF6863"/>
    <w:rsid w:val="00E0645A"/>
    <w:rsid w:val="00E11805"/>
    <w:rsid w:val="00E13A96"/>
    <w:rsid w:val="00E2377B"/>
    <w:rsid w:val="00E23B22"/>
    <w:rsid w:val="00E263AE"/>
    <w:rsid w:val="00E266C3"/>
    <w:rsid w:val="00E33990"/>
    <w:rsid w:val="00E35EA3"/>
    <w:rsid w:val="00E37925"/>
    <w:rsid w:val="00E40724"/>
    <w:rsid w:val="00E412EC"/>
    <w:rsid w:val="00E42347"/>
    <w:rsid w:val="00E46A5C"/>
    <w:rsid w:val="00E51F3D"/>
    <w:rsid w:val="00E528C4"/>
    <w:rsid w:val="00E53185"/>
    <w:rsid w:val="00E5722D"/>
    <w:rsid w:val="00E60BA7"/>
    <w:rsid w:val="00E64428"/>
    <w:rsid w:val="00E64BDD"/>
    <w:rsid w:val="00E67691"/>
    <w:rsid w:val="00E72641"/>
    <w:rsid w:val="00E8359B"/>
    <w:rsid w:val="00E8574B"/>
    <w:rsid w:val="00E9425F"/>
    <w:rsid w:val="00E972C6"/>
    <w:rsid w:val="00E97F5C"/>
    <w:rsid w:val="00E97FDB"/>
    <w:rsid w:val="00EA08E6"/>
    <w:rsid w:val="00EA48DE"/>
    <w:rsid w:val="00EB262F"/>
    <w:rsid w:val="00EB5EC6"/>
    <w:rsid w:val="00EC08BC"/>
    <w:rsid w:val="00EC140A"/>
    <w:rsid w:val="00EC39FA"/>
    <w:rsid w:val="00EC4281"/>
    <w:rsid w:val="00EC5055"/>
    <w:rsid w:val="00ED32BB"/>
    <w:rsid w:val="00ED5A4F"/>
    <w:rsid w:val="00EE2965"/>
    <w:rsid w:val="00EE61DE"/>
    <w:rsid w:val="00EE62E7"/>
    <w:rsid w:val="00EE67AA"/>
    <w:rsid w:val="00EF4295"/>
    <w:rsid w:val="00EF6AC7"/>
    <w:rsid w:val="00F1129B"/>
    <w:rsid w:val="00F116E3"/>
    <w:rsid w:val="00F120F5"/>
    <w:rsid w:val="00F15857"/>
    <w:rsid w:val="00F175B9"/>
    <w:rsid w:val="00F17E36"/>
    <w:rsid w:val="00F2419F"/>
    <w:rsid w:val="00F25A2C"/>
    <w:rsid w:val="00F31FE8"/>
    <w:rsid w:val="00F35185"/>
    <w:rsid w:val="00F35DF3"/>
    <w:rsid w:val="00F3606B"/>
    <w:rsid w:val="00F364BB"/>
    <w:rsid w:val="00F366AC"/>
    <w:rsid w:val="00F37AD7"/>
    <w:rsid w:val="00F40DDF"/>
    <w:rsid w:val="00F41EBE"/>
    <w:rsid w:val="00F45070"/>
    <w:rsid w:val="00F5003A"/>
    <w:rsid w:val="00F53972"/>
    <w:rsid w:val="00F55C54"/>
    <w:rsid w:val="00F61888"/>
    <w:rsid w:val="00F61FFB"/>
    <w:rsid w:val="00F62431"/>
    <w:rsid w:val="00F657E4"/>
    <w:rsid w:val="00F65A31"/>
    <w:rsid w:val="00F7168A"/>
    <w:rsid w:val="00F719F9"/>
    <w:rsid w:val="00F7279E"/>
    <w:rsid w:val="00F8306F"/>
    <w:rsid w:val="00F9277D"/>
    <w:rsid w:val="00F92D69"/>
    <w:rsid w:val="00F95F0E"/>
    <w:rsid w:val="00FA1D09"/>
    <w:rsid w:val="00FA42D9"/>
    <w:rsid w:val="00FB172F"/>
    <w:rsid w:val="00FB1AF6"/>
    <w:rsid w:val="00FB4609"/>
    <w:rsid w:val="00FB4991"/>
    <w:rsid w:val="00FB5722"/>
    <w:rsid w:val="00FC1E6B"/>
    <w:rsid w:val="00FC2F07"/>
    <w:rsid w:val="00FC576C"/>
    <w:rsid w:val="00FD3667"/>
    <w:rsid w:val="00FD4043"/>
    <w:rsid w:val="00FE45DB"/>
    <w:rsid w:val="00FE5877"/>
    <w:rsid w:val="00FE727D"/>
    <w:rsid w:val="00FF059F"/>
    <w:rsid w:val="00FF15F9"/>
    <w:rsid w:val="00FF52D1"/>
    <w:rsid w:val="00FF5686"/>
    <w:rsid w:val="00FF64F9"/>
    <w:rsid w:val="00FF6602"/>
    <w:rsid w:val="00FF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32E017-F9AD-4C95-9EB3-C9DB0C5A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66C3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nhideWhenUsed/>
    <w:rsid w:val="00E266C3"/>
    <w:rPr>
      <w:rFonts w:ascii="Times" w:hAnsi="Times"/>
    </w:rPr>
  </w:style>
  <w:style w:type="character" w:customStyle="1" w:styleId="TekstkomentarzaZnak">
    <w:name w:val="Tekst komentarza Znak"/>
    <w:link w:val="Tekstkomentarza"/>
    <w:uiPriority w:val="99"/>
    <w:rsid w:val="00E266C3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qFormat/>
    <w:rsid w:val="00E266C3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E266C3"/>
    <w:pPr>
      <w:spacing w:before="0"/>
      <w:ind w:left="510"/>
    </w:p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E266C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E266C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qFormat/>
    <w:rsid w:val="00E266C3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E266C3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E266C3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E266C3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E266C3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E266C3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E266C3"/>
    <w:pPr>
      <w:ind w:left="986" w:hanging="476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E266C3"/>
    <w:pPr>
      <w:keepNext/>
      <w:spacing w:before="120" w:line="360" w:lineRule="auto"/>
      <w:jc w:val="center"/>
    </w:pPr>
    <w:rPr>
      <w:rFonts w:ascii="Times" w:eastAsia="Times New Roman" w:hAnsi="Times" w:cs="Arial"/>
      <w:bCs/>
      <w:caps/>
      <w:kern w:val="24"/>
      <w:sz w:val="24"/>
      <w:szCs w:val="24"/>
    </w:rPr>
  </w:style>
  <w:style w:type="paragraph" w:customStyle="1" w:styleId="ODNONIKtreodnonika">
    <w:name w:val="ODNOŚNIK – treść odnośnika"/>
    <w:uiPriority w:val="19"/>
    <w:qFormat/>
    <w:rsid w:val="00E266C3"/>
    <w:pPr>
      <w:ind w:left="284" w:hanging="284"/>
      <w:jc w:val="both"/>
    </w:pPr>
    <w:rPr>
      <w:rFonts w:ascii="Times New Roman" w:eastAsia="Times New Roman" w:hAnsi="Times New Roman" w:cs="Arial"/>
    </w:r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E266C3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E266C3"/>
    <w:pPr>
      <w:ind w:left="0" w:firstLine="0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E266C3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E266C3"/>
    <w:pPr>
      <w:spacing w:line="360" w:lineRule="auto"/>
      <w:jc w:val="right"/>
    </w:pPr>
    <w:rPr>
      <w:rFonts w:ascii="Times New Roman" w:eastAsia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E266C3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266C3"/>
    <w:pPr>
      <w:keepNext/>
    </w:pPr>
    <w:rPr>
      <w:b/>
      <w:u w:val="none"/>
    </w:rPr>
  </w:style>
  <w:style w:type="character" w:styleId="Odwoanieprzypisudolnego">
    <w:name w:val="footnote reference"/>
    <w:semiHidden/>
    <w:unhideWhenUsed/>
    <w:rsid w:val="00E266C3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uiPriority w:val="99"/>
    <w:unhideWhenUsed/>
    <w:rsid w:val="00E266C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6C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266C3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3BE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13B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013BE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013BE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2D6C"/>
    <w:rPr>
      <w:rFonts w:ascii="Times New Roman" w:hAnsi="Times New Roman"/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532D6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11E59"/>
    <w:pPr>
      <w:ind w:left="720"/>
      <w:contextualSpacing/>
    </w:pPr>
  </w:style>
  <w:style w:type="paragraph" w:styleId="Poprawka">
    <w:name w:val="Revision"/>
    <w:hidden/>
    <w:uiPriority w:val="99"/>
    <w:semiHidden/>
    <w:rsid w:val="0063251A"/>
    <w:rPr>
      <w:rFonts w:ascii="Times New Roman" w:eastAsia="Times New Roman" w:hAnsi="Times New Roman"/>
      <w:sz w:val="24"/>
      <w:szCs w:val="24"/>
    </w:rPr>
  </w:style>
  <w:style w:type="paragraph" w:customStyle="1" w:styleId="ZPKTzmpktartykuempunktem">
    <w:name w:val="Z/PKT – zm. pkt artykułem (punktem)"/>
    <w:basedOn w:val="PKTpunkt"/>
    <w:rsid w:val="00417247"/>
    <w:pPr>
      <w:suppressAutoHyphens/>
      <w:autoSpaceDN w:val="0"/>
      <w:ind w:left="1020"/>
      <w:textAlignment w:val="baseline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rsid w:val="00417247"/>
    <w:pPr>
      <w:suppressAutoHyphens/>
      <w:autoSpaceDN w:val="0"/>
      <w:ind w:left="510"/>
      <w:textAlignment w:val="baseline"/>
    </w:pPr>
  </w:style>
  <w:style w:type="paragraph" w:styleId="Bezodstpw">
    <w:name w:val="No Spacing"/>
    <w:uiPriority w:val="1"/>
    <w:qFormat/>
    <w:rsid w:val="005C28A9"/>
    <w:rPr>
      <w:rFonts w:ascii="Times New Roman" w:eastAsia="Times New Roman" w:hAnsi="Times New Roman"/>
      <w:sz w:val="24"/>
      <w:szCs w:val="24"/>
    </w:rPr>
  </w:style>
  <w:style w:type="character" w:customStyle="1" w:styleId="Ppogrubienie">
    <w:name w:val="_P_ – pogrubienie"/>
    <w:rsid w:val="00A24794"/>
    <w:rPr>
      <w:b/>
    </w:rPr>
  </w:style>
  <w:style w:type="paragraph" w:styleId="Nagwek">
    <w:name w:val="header"/>
    <w:basedOn w:val="Normalny"/>
    <w:link w:val="NagwekZnak"/>
    <w:uiPriority w:val="99"/>
    <w:unhideWhenUsed/>
    <w:rsid w:val="006170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1703F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1703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1703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81F04-48E9-48B4-AF9D-BB909A7E6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800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ULC</Company>
  <LinksUpToDate>false</LinksUpToDate>
  <CharactersWithSpaces>5593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adabrowska</dc:creator>
  <cp:lastModifiedBy>Przychodzki Marcin</cp:lastModifiedBy>
  <cp:revision>2</cp:revision>
  <cp:lastPrinted>2020-06-16T11:41:00Z</cp:lastPrinted>
  <dcterms:created xsi:type="dcterms:W3CDTF">2020-06-29T14:58:00Z</dcterms:created>
  <dcterms:modified xsi:type="dcterms:W3CDTF">2020-06-29T14:58:00Z</dcterms:modified>
</cp:coreProperties>
</file>