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rsidTr="00676C8D">
        <w:trPr>
          <w:gridAfter w:val="1"/>
          <w:wAfter w:w="10" w:type="dxa"/>
          <w:trHeight w:val="1611"/>
        </w:trPr>
        <w:tc>
          <w:tcPr>
            <w:tcW w:w="6631" w:type="dxa"/>
            <w:gridSpan w:val="17"/>
          </w:tcPr>
          <w:p w:rsidR="006A701A" w:rsidRPr="008B4FE6" w:rsidRDefault="006A701A" w:rsidP="00F41B81">
            <w:pPr>
              <w:spacing w:before="120" w:line="240" w:lineRule="auto"/>
              <w:ind w:hanging="45"/>
              <w:jc w:val="both"/>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rsidR="00DC7347" w:rsidRPr="008D423F" w:rsidRDefault="00DC7347" w:rsidP="00F41B81">
            <w:pPr>
              <w:spacing w:line="240" w:lineRule="auto"/>
              <w:jc w:val="both"/>
              <w:rPr>
                <w:rFonts w:ascii="Times New Roman" w:hAnsi="Times New Roman"/>
              </w:rPr>
            </w:pPr>
            <w:r w:rsidRPr="008D423F">
              <w:rPr>
                <w:rFonts w:ascii="Times New Roman" w:hAnsi="Times New Roman"/>
                <w:lang w:eastAsia="pl-PL"/>
              </w:rPr>
              <w:t xml:space="preserve">Projekt ustawy o zmianie ustawy </w:t>
            </w:r>
            <w:r w:rsidRPr="008D423F">
              <w:rPr>
                <w:rFonts w:ascii="Times New Roman" w:hAnsi="Times New Roman"/>
              </w:rPr>
              <w:t>–</w:t>
            </w:r>
            <w:r w:rsidRPr="008D423F">
              <w:rPr>
                <w:rFonts w:ascii="Times New Roman" w:hAnsi="Times New Roman"/>
                <w:lang w:eastAsia="pl-PL"/>
              </w:rPr>
              <w:t xml:space="preserve"> Prawo lotnicze</w:t>
            </w:r>
          </w:p>
          <w:p w:rsidR="006A701A" w:rsidRPr="008B4FE6" w:rsidRDefault="006A701A" w:rsidP="00F41B81">
            <w:pPr>
              <w:spacing w:before="120" w:line="240" w:lineRule="auto"/>
              <w:ind w:hanging="45"/>
              <w:jc w:val="both"/>
              <w:rPr>
                <w:rFonts w:ascii="Times New Roman" w:hAnsi="Times New Roman"/>
                <w:b/>
                <w:color w:val="000000"/>
              </w:rPr>
            </w:pPr>
            <w:r w:rsidRPr="008B4FE6">
              <w:rPr>
                <w:rFonts w:ascii="Times New Roman" w:hAnsi="Times New Roman"/>
                <w:b/>
                <w:color w:val="000000"/>
              </w:rPr>
              <w:t>Ministerstwo wiodące i ministerstwa współpracujące</w:t>
            </w:r>
          </w:p>
          <w:bookmarkEnd w:id="0"/>
          <w:p w:rsidR="00DC7347" w:rsidRPr="008D423F" w:rsidRDefault="00DC7347" w:rsidP="00E05A0F">
            <w:pPr>
              <w:spacing w:after="120" w:line="240" w:lineRule="auto"/>
              <w:jc w:val="both"/>
              <w:rPr>
                <w:rFonts w:ascii="Times New Roman" w:hAnsi="Times New Roman"/>
              </w:rPr>
            </w:pPr>
            <w:r w:rsidRPr="008D423F">
              <w:rPr>
                <w:rFonts w:ascii="Times New Roman" w:hAnsi="Times New Roman"/>
                <w:lang w:eastAsia="pl-PL"/>
              </w:rPr>
              <w:t>Ministerstwo Infrastruktury i Rozwoju</w:t>
            </w:r>
            <w:r w:rsidRPr="008D423F">
              <w:rPr>
                <w:rFonts w:ascii="Times New Roman" w:hAnsi="Times New Roman"/>
              </w:rPr>
              <w:t xml:space="preserve"> </w:t>
            </w:r>
          </w:p>
          <w:p w:rsidR="001B3460" w:rsidRPr="00642825" w:rsidRDefault="001B3460" w:rsidP="00F41B81">
            <w:pPr>
              <w:spacing w:line="240" w:lineRule="auto"/>
              <w:jc w:val="both"/>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rsidR="00DC7347" w:rsidRPr="008D423F" w:rsidRDefault="00CD6A34" w:rsidP="00F41B81">
            <w:pPr>
              <w:spacing w:line="240" w:lineRule="auto"/>
              <w:jc w:val="both"/>
              <w:rPr>
                <w:rFonts w:ascii="Times New Roman" w:hAnsi="Times New Roman"/>
              </w:rPr>
            </w:pPr>
            <w:r>
              <w:rPr>
                <w:rFonts w:ascii="Times New Roman" w:hAnsi="Times New Roman"/>
              </w:rPr>
              <w:t xml:space="preserve">Sławomir Żałobka </w:t>
            </w:r>
            <w:r w:rsidR="00DC7347" w:rsidRPr="008D423F">
              <w:rPr>
                <w:rFonts w:ascii="Times New Roman" w:hAnsi="Times New Roman"/>
              </w:rPr>
              <w:t xml:space="preserve">– </w:t>
            </w:r>
            <w:r>
              <w:rPr>
                <w:rFonts w:ascii="Times New Roman" w:hAnsi="Times New Roman"/>
              </w:rPr>
              <w:t>Podsekretarz Stanu w MIiR</w:t>
            </w:r>
          </w:p>
          <w:p w:rsidR="006A701A" w:rsidRPr="008B4FE6" w:rsidRDefault="006A701A" w:rsidP="00F41B81">
            <w:pPr>
              <w:spacing w:before="120" w:line="240" w:lineRule="auto"/>
              <w:ind w:hanging="45"/>
              <w:jc w:val="both"/>
              <w:rPr>
                <w:rFonts w:ascii="Times New Roman" w:hAnsi="Times New Roman"/>
                <w:b/>
                <w:color w:val="000000"/>
              </w:rPr>
            </w:pPr>
            <w:r w:rsidRPr="008B4FE6">
              <w:rPr>
                <w:rFonts w:ascii="Times New Roman" w:hAnsi="Times New Roman"/>
                <w:b/>
                <w:color w:val="000000"/>
              </w:rPr>
              <w:t>Kontakt do opiekuna merytorycznego projektu</w:t>
            </w:r>
          </w:p>
          <w:p w:rsidR="006A701A" w:rsidRDefault="00787A82" w:rsidP="00F41B81">
            <w:pPr>
              <w:spacing w:line="240" w:lineRule="auto"/>
              <w:ind w:hanging="34"/>
              <w:jc w:val="both"/>
              <w:rPr>
                <w:rFonts w:ascii="Times New Roman" w:hAnsi="Times New Roman"/>
                <w:color w:val="000000"/>
              </w:rPr>
            </w:pPr>
            <w:r>
              <w:rPr>
                <w:rFonts w:ascii="Times New Roman" w:hAnsi="Times New Roman"/>
                <w:color w:val="000000"/>
              </w:rPr>
              <w:t>Magdalena Porzycka (630 14 47)</w:t>
            </w:r>
          </w:p>
          <w:p w:rsidR="00787A82" w:rsidRPr="008B4FE6" w:rsidRDefault="00787A82" w:rsidP="00F41B81">
            <w:pPr>
              <w:spacing w:line="240" w:lineRule="auto"/>
              <w:ind w:hanging="34"/>
              <w:jc w:val="both"/>
              <w:rPr>
                <w:rFonts w:ascii="Times New Roman" w:hAnsi="Times New Roman"/>
                <w:color w:val="000000"/>
              </w:rPr>
            </w:pPr>
          </w:p>
        </w:tc>
        <w:tc>
          <w:tcPr>
            <w:tcW w:w="4306" w:type="dxa"/>
            <w:gridSpan w:val="12"/>
            <w:shd w:val="clear" w:color="auto" w:fill="FFFFFF"/>
          </w:tcPr>
          <w:p w:rsidR="001B3460" w:rsidRPr="00642825" w:rsidRDefault="001B3460" w:rsidP="00D40B85">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CD6A34">
              <w:rPr>
                <w:rFonts w:ascii="Times New Roman" w:hAnsi="Times New Roman"/>
                <w:sz w:val="21"/>
                <w:szCs w:val="21"/>
              </w:rPr>
              <w:t>22</w:t>
            </w:r>
            <w:r w:rsidR="00DC7347">
              <w:rPr>
                <w:rFonts w:ascii="Times New Roman" w:hAnsi="Times New Roman"/>
                <w:sz w:val="21"/>
                <w:szCs w:val="21"/>
              </w:rPr>
              <w:t>.0</w:t>
            </w:r>
            <w:r w:rsidR="00CD6A34">
              <w:rPr>
                <w:rFonts w:ascii="Times New Roman" w:hAnsi="Times New Roman"/>
                <w:sz w:val="21"/>
                <w:szCs w:val="21"/>
              </w:rPr>
              <w:t>4</w:t>
            </w:r>
            <w:bookmarkStart w:id="1" w:name="_GoBack"/>
            <w:bookmarkEnd w:id="1"/>
            <w:r w:rsidR="00DC7347">
              <w:rPr>
                <w:rFonts w:ascii="Times New Roman" w:hAnsi="Times New Roman"/>
                <w:sz w:val="21"/>
                <w:szCs w:val="21"/>
              </w:rPr>
              <w:t>.201</w:t>
            </w:r>
            <w:r w:rsidR="00A81792">
              <w:rPr>
                <w:rFonts w:ascii="Times New Roman" w:hAnsi="Times New Roman"/>
                <w:sz w:val="21"/>
                <w:szCs w:val="21"/>
              </w:rPr>
              <w:t>5 r.</w:t>
            </w:r>
          </w:p>
          <w:p w:rsidR="00F76884" w:rsidRDefault="00F76884" w:rsidP="00F41B81">
            <w:pPr>
              <w:spacing w:line="240" w:lineRule="auto"/>
              <w:jc w:val="both"/>
              <w:rPr>
                <w:rFonts w:ascii="Times New Roman" w:hAnsi="Times New Roman"/>
                <w:b/>
              </w:rPr>
            </w:pPr>
          </w:p>
          <w:p w:rsidR="00F76884" w:rsidRPr="0065019F" w:rsidRDefault="00F76884" w:rsidP="00F41B81">
            <w:pPr>
              <w:spacing w:line="240" w:lineRule="auto"/>
              <w:jc w:val="both"/>
              <w:rPr>
                <w:rFonts w:ascii="Times New Roman" w:hAnsi="Times New Roman"/>
                <w:b/>
              </w:rPr>
            </w:pPr>
            <w:r w:rsidRPr="0065019F">
              <w:rPr>
                <w:rFonts w:ascii="Times New Roman" w:hAnsi="Times New Roman"/>
                <w:b/>
              </w:rPr>
              <w:t xml:space="preserve">Źródło: </w:t>
            </w:r>
            <w:bookmarkStart w:id="2" w:name="Lista1"/>
          </w:p>
          <w:bookmarkEnd w:id="2"/>
          <w:p w:rsidR="00F76884" w:rsidRPr="0065019F" w:rsidRDefault="00DC7347" w:rsidP="00F41B81">
            <w:pPr>
              <w:spacing w:line="240" w:lineRule="auto"/>
              <w:jc w:val="both"/>
              <w:rPr>
                <w:rFonts w:ascii="Times New Roman" w:hAnsi="Times New Roman"/>
              </w:rPr>
            </w:pPr>
            <w:r>
              <w:rPr>
                <w:rFonts w:ascii="Times New Roman" w:hAnsi="Times New Roman"/>
              </w:rPr>
              <w:t>Prawo UE</w:t>
            </w:r>
          </w:p>
          <w:p w:rsidR="00F76884" w:rsidRPr="0065019F" w:rsidRDefault="00F76884" w:rsidP="00F41B81">
            <w:pPr>
              <w:spacing w:line="240" w:lineRule="auto"/>
              <w:jc w:val="both"/>
              <w:rPr>
                <w:rFonts w:ascii="Times New Roman" w:hAnsi="Times New Roman"/>
              </w:rPr>
            </w:pPr>
          </w:p>
          <w:p w:rsidR="006A701A" w:rsidRPr="008B4FE6" w:rsidRDefault="006A701A" w:rsidP="00F41B81">
            <w:pPr>
              <w:spacing w:before="120" w:line="240" w:lineRule="auto"/>
              <w:jc w:val="both"/>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787A82">
              <w:rPr>
                <w:rFonts w:ascii="Times New Roman" w:hAnsi="Times New Roman"/>
                <w:b/>
                <w:color w:val="000000"/>
              </w:rPr>
              <w:t>Rady Ministrów</w:t>
            </w:r>
          </w:p>
          <w:p w:rsidR="006A701A" w:rsidRPr="008B4FE6" w:rsidRDefault="00C34D50" w:rsidP="00F41B81">
            <w:pPr>
              <w:spacing w:line="240" w:lineRule="auto"/>
              <w:jc w:val="both"/>
              <w:rPr>
                <w:rFonts w:ascii="Times New Roman" w:hAnsi="Times New Roman"/>
                <w:color w:val="000000"/>
              </w:rPr>
            </w:pPr>
            <w:r>
              <w:rPr>
                <w:rFonts w:ascii="Times New Roman" w:hAnsi="Times New Roman"/>
                <w:color w:val="000000"/>
              </w:rPr>
              <w:t>UC127</w:t>
            </w:r>
          </w:p>
          <w:p w:rsidR="006A701A" w:rsidRPr="008B4FE6" w:rsidRDefault="006A701A" w:rsidP="00F41B81">
            <w:pPr>
              <w:spacing w:line="240" w:lineRule="auto"/>
              <w:jc w:val="both"/>
              <w:rPr>
                <w:rFonts w:ascii="Times New Roman" w:hAnsi="Times New Roman"/>
                <w:color w:val="000000"/>
                <w:sz w:val="28"/>
                <w:szCs w:val="28"/>
              </w:rPr>
            </w:pPr>
          </w:p>
        </w:tc>
      </w:tr>
      <w:tr w:rsidR="006A701A" w:rsidRPr="0022687A" w:rsidTr="00676C8D">
        <w:trPr>
          <w:gridAfter w:val="1"/>
          <w:wAfter w:w="10" w:type="dxa"/>
          <w:trHeight w:val="142"/>
        </w:trPr>
        <w:tc>
          <w:tcPr>
            <w:tcW w:w="10937" w:type="dxa"/>
            <w:gridSpan w:val="29"/>
            <w:shd w:val="clear" w:color="auto" w:fill="99CCFF"/>
          </w:tcPr>
          <w:p w:rsidR="006A701A" w:rsidRPr="00627221" w:rsidRDefault="006A701A" w:rsidP="00F41B81">
            <w:pPr>
              <w:spacing w:line="240" w:lineRule="auto"/>
              <w:ind w:left="57"/>
              <w:jc w:val="both"/>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rsidTr="00676C8D">
        <w:trPr>
          <w:gridAfter w:val="1"/>
          <w:wAfter w:w="10" w:type="dxa"/>
          <w:trHeight w:val="333"/>
        </w:trPr>
        <w:tc>
          <w:tcPr>
            <w:tcW w:w="10937" w:type="dxa"/>
            <w:gridSpan w:val="29"/>
            <w:shd w:val="clear" w:color="auto" w:fill="99CCFF"/>
            <w:vAlign w:val="center"/>
          </w:tcPr>
          <w:p w:rsidR="006A701A" w:rsidRPr="008B4FE6" w:rsidRDefault="003D12F6" w:rsidP="00F41B81">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rsidTr="00676C8D">
        <w:trPr>
          <w:gridAfter w:val="1"/>
          <w:wAfter w:w="10" w:type="dxa"/>
          <w:trHeight w:val="142"/>
        </w:trPr>
        <w:tc>
          <w:tcPr>
            <w:tcW w:w="10937" w:type="dxa"/>
            <w:gridSpan w:val="29"/>
            <w:shd w:val="clear" w:color="auto" w:fill="FFFFFF"/>
          </w:tcPr>
          <w:p w:rsidR="006A701A" w:rsidRPr="00847836" w:rsidRDefault="00847836" w:rsidP="00F41B81">
            <w:pPr>
              <w:spacing w:line="240" w:lineRule="auto"/>
              <w:jc w:val="both"/>
              <w:rPr>
                <w:rFonts w:ascii="Times New Roman" w:hAnsi="Times New Roman"/>
                <w:lang w:eastAsia="pl-PL"/>
              </w:rPr>
            </w:pPr>
            <w:r w:rsidRPr="008D423F">
              <w:rPr>
                <w:rFonts w:ascii="Times New Roman" w:hAnsi="Times New Roman"/>
                <w:lang w:eastAsia="pl-PL"/>
              </w:rPr>
              <w:t>Dostosowanie ustawy z dnia 3 lipca 2002 r. – Prawo lotnicze (Dz. U. z 2013 r. poz. 1393</w:t>
            </w:r>
            <w:r>
              <w:rPr>
                <w:rFonts w:ascii="Times New Roman" w:hAnsi="Times New Roman"/>
                <w:lang w:eastAsia="pl-PL"/>
              </w:rPr>
              <w:t xml:space="preserve"> oraz z 2014 r. poz. 768</w:t>
            </w:r>
            <w:r w:rsidRPr="008D423F">
              <w:rPr>
                <w:rFonts w:ascii="Times New Roman" w:hAnsi="Times New Roman"/>
                <w:lang w:eastAsia="pl-PL"/>
              </w:rPr>
              <w:t>) do nowych lub znowelizowanych przepisów Unii Europejskiej w  obszarze praw pasażerów, żeglugi powietrznej, personelu lotniczego, techniki lotniczej, lotniczej działalności gospodarczej i transportu lotniczego, operacji lotniczych, lotnisk oraz ochrony lotnictwa cywilnego.</w:t>
            </w:r>
          </w:p>
          <w:p w:rsidR="006A701A" w:rsidRPr="00B37C80" w:rsidRDefault="006A701A" w:rsidP="00F41B81">
            <w:pPr>
              <w:spacing w:line="240" w:lineRule="auto"/>
              <w:jc w:val="both"/>
              <w:rPr>
                <w:rFonts w:ascii="Times New Roman" w:hAnsi="Times New Roman"/>
                <w:color w:val="000000"/>
              </w:rPr>
            </w:pPr>
          </w:p>
        </w:tc>
      </w:tr>
      <w:tr w:rsidR="006A701A" w:rsidRPr="008B4FE6" w:rsidTr="00676C8D">
        <w:trPr>
          <w:gridAfter w:val="1"/>
          <w:wAfter w:w="10" w:type="dxa"/>
          <w:trHeight w:val="142"/>
        </w:trPr>
        <w:tc>
          <w:tcPr>
            <w:tcW w:w="10937" w:type="dxa"/>
            <w:gridSpan w:val="29"/>
            <w:shd w:val="clear" w:color="auto" w:fill="99CCFF"/>
            <w:vAlign w:val="center"/>
          </w:tcPr>
          <w:p w:rsidR="006A701A" w:rsidRPr="008B4FE6" w:rsidRDefault="0013216E" w:rsidP="00F41B81">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rsidTr="00676C8D">
        <w:trPr>
          <w:gridAfter w:val="1"/>
          <w:wAfter w:w="10" w:type="dxa"/>
          <w:trHeight w:val="142"/>
        </w:trPr>
        <w:tc>
          <w:tcPr>
            <w:tcW w:w="10937" w:type="dxa"/>
            <w:gridSpan w:val="29"/>
            <w:shd w:val="clear" w:color="auto" w:fill="auto"/>
          </w:tcPr>
          <w:p w:rsidR="00847836" w:rsidRPr="008D423F" w:rsidRDefault="00847836" w:rsidP="00F41B81">
            <w:pPr>
              <w:spacing w:line="240" w:lineRule="auto"/>
              <w:jc w:val="both"/>
              <w:rPr>
                <w:rFonts w:ascii="Times New Roman" w:hAnsi="Times New Roman"/>
                <w:spacing w:val="-2"/>
              </w:rPr>
            </w:pPr>
            <w:r w:rsidRPr="008D423F">
              <w:rPr>
                <w:rFonts w:ascii="Times New Roman" w:hAnsi="Times New Roman"/>
                <w:spacing w:val="-2"/>
              </w:rPr>
              <w:t>Rekomendowanym rozwiązaniem jest nowelizacja ustawy z dnia 3 lipca 2002 r. – Prawo lotnicze. Podstawowym celem jest zapewnienie spójności  przepisów tej ustawy i aktów prawa Unii Europejskiej wydanych od lipca 2011 r. do chwili obecnej. Nowelizacja ustawy będzie polegała przede wszystkim na:</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wprowadzeniu odwołań w ustawie do nowych przepisów prawa UE;</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wprowadzeniu sankcji z tytułu nieprzestrzegania wymagań i obowiązków ustalonych w prawie UE;</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wprowadzeniu przepisów kompetencyjnych dla organów administracji krajowej do działania w zakresie określonym prawem UE;</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uzupełnieniu katalogu opłat lotniczych o czynności administracyjne wynikające z przepisów prawa UE lub z nimi związane;</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wprowadzenie przepisu, na podstawie którego Prezes Urzędu Lotnictwa Cywilnego będzie mógł wydawać opinie o możliwości lokalizacji inwestycji ze względu na wysokość zabudowy w otoczeniu lotnisk i lotniczych urządzeń naziemnych;</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 xml:space="preserve">uchylenie przepisów art. 120 ust. 4 oraz 121 ust 5a dotyczące zapewniania lotniskowej służby informacji powietrznej, dostępności służby meteorologicznej oraz tworzenia lotniskowych cywilnych organów służb ruchu lotniczego na lotniskach kontrolowanych i niekontrolowanych; </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wprowadzenie procedury cofnięcia wyznaczenia instytucji zapewniającej służby żeglugi powietrznej;</w:t>
            </w:r>
          </w:p>
          <w:p w:rsidR="00847836" w:rsidRPr="008D423F" w:rsidRDefault="00847836" w:rsidP="00F41B81">
            <w:pPr>
              <w:pStyle w:val="Akapitzlist"/>
              <w:numPr>
                <w:ilvl w:val="0"/>
                <w:numId w:val="22"/>
              </w:numPr>
              <w:spacing w:line="240" w:lineRule="auto"/>
              <w:jc w:val="both"/>
              <w:rPr>
                <w:rFonts w:ascii="Times New Roman" w:hAnsi="Times New Roman"/>
                <w:spacing w:val="-2"/>
              </w:rPr>
            </w:pPr>
            <w:r w:rsidRPr="008D423F">
              <w:rPr>
                <w:rFonts w:ascii="Times New Roman" w:hAnsi="Times New Roman"/>
                <w:spacing w:val="-2"/>
              </w:rPr>
              <w:t>wprowadzeniu alternatywnych dla przepisów prawa UE rozwiązań w przypadkach, gdy to prawo dopuszcza działanie państwa członkowskiego UE np. system zachęt o charakterze finansowym w żegludze powietrznej, system finansowania służb terminalowych na lotniskach wyłącznych;</w:t>
            </w:r>
          </w:p>
          <w:p w:rsidR="006A701A" w:rsidRPr="00B37C80" w:rsidRDefault="00847836" w:rsidP="00F41B81">
            <w:pPr>
              <w:spacing w:line="240" w:lineRule="auto"/>
              <w:jc w:val="both"/>
              <w:rPr>
                <w:rFonts w:ascii="Times New Roman" w:hAnsi="Times New Roman"/>
                <w:color w:val="000000"/>
                <w:spacing w:val="-2"/>
              </w:rPr>
            </w:pPr>
            <w:r w:rsidRPr="008D423F">
              <w:rPr>
                <w:rFonts w:ascii="Times New Roman" w:hAnsi="Times New Roman"/>
                <w:spacing w:val="-2"/>
              </w:rPr>
              <w:t xml:space="preserve">zastąpieniu </w:t>
            </w:r>
            <w:r w:rsidRPr="008D423F">
              <w:rPr>
                <w:rFonts w:ascii="Times New Roman" w:eastAsia="Times New Roman" w:hAnsi="Times New Roman"/>
                <w:lang w:eastAsia="pl-PL"/>
              </w:rPr>
              <w:t>obecnego sposobu wykonywania przez Prezesa Urzędu Lotnictwa Cywilnego kompetencji Krajowego Organu Wykonawczego, realizowanych w ramach modelu skargowości, modelem nadzorczym oraz modelem mediacyjnym, w celu uniknięcia wielu postępowań dotyczących tego samego stanu prawnego i faktycznego.</w:t>
            </w:r>
          </w:p>
          <w:p w:rsidR="006A701A" w:rsidRPr="00B37C80" w:rsidRDefault="006A701A" w:rsidP="00F41B81">
            <w:pPr>
              <w:spacing w:line="240" w:lineRule="auto"/>
              <w:jc w:val="both"/>
              <w:rPr>
                <w:rFonts w:ascii="Times New Roman" w:hAnsi="Times New Roman"/>
                <w:color w:val="000000"/>
                <w:spacing w:val="-2"/>
              </w:rPr>
            </w:pPr>
          </w:p>
        </w:tc>
      </w:tr>
      <w:tr w:rsidR="006A701A" w:rsidRPr="008B4FE6" w:rsidTr="00676C8D">
        <w:trPr>
          <w:gridAfter w:val="1"/>
          <w:wAfter w:w="10" w:type="dxa"/>
          <w:trHeight w:val="307"/>
        </w:trPr>
        <w:tc>
          <w:tcPr>
            <w:tcW w:w="10937" w:type="dxa"/>
            <w:gridSpan w:val="29"/>
            <w:shd w:val="clear" w:color="auto" w:fill="99CCFF"/>
            <w:vAlign w:val="center"/>
          </w:tcPr>
          <w:p w:rsidR="006A701A" w:rsidRPr="008B4FE6" w:rsidRDefault="009E3C4B" w:rsidP="00F41B81">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rsidTr="00676C8D">
        <w:trPr>
          <w:gridAfter w:val="1"/>
          <w:wAfter w:w="10" w:type="dxa"/>
          <w:trHeight w:val="142"/>
        </w:trPr>
        <w:tc>
          <w:tcPr>
            <w:tcW w:w="10937" w:type="dxa"/>
            <w:gridSpan w:val="29"/>
            <w:shd w:val="clear" w:color="auto" w:fill="auto"/>
          </w:tcPr>
          <w:p w:rsidR="006A701A" w:rsidRDefault="006A701A" w:rsidP="00F41B81">
            <w:pPr>
              <w:spacing w:line="240" w:lineRule="auto"/>
              <w:jc w:val="both"/>
              <w:rPr>
                <w:rFonts w:ascii="Times New Roman" w:hAnsi="Times New Roman"/>
                <w:color w:val="000000"/>
                <w:spacing w:val="-2"/>
              </w:rPr>
            </w:pPr>
          </w:p>
          <w:p w:rsidR="00D5136C" w:rsidRPr="008D423F" w:rsidRDefault="00D5136C" w:rsidP="00F41B81">
            <w:pPr>
              <w:spacing w:line="240" w:lineRule="auto"/>
              <w:jc w:val="both"/>
              <w:rPr>
                <w:rFonts w:ascii="Times New Roman" w:hAnsi="Times New Roman"/>
                <w:u w:val="single"/>
                <w:lang w:eastAsia="pl-PL"/>
              </w:rPr>
            </w:pPr>
            <w:r w:rsidRPr="008D423F">
              <w:rPr>
                <w:rFonts w:ascii="Times New Roman" w:hAnsi="Times New Roman"/>
                <w:u w:val="single"/>
                <w:lang w:eastAsia="pl-PL"/>
              </w:rPr>
              <w:t>Transport lotniczy:</w:t>
            </w:r>
          </w:p>
          <w:p w:rsidR="00D5136C" w:rsidRPr="008D423F" w:rsidRDefault="00D5136C" w:rsidP="00F41B81">
            <w:pPr>
              <w:spacing w:line="240" w:lineRule="auto"/>
              <w:jc w:val="both"/>
              <w:rPr>
                <w:rFonts w:ascii="Times New Roman" w:hAnsi="Times New Roman"/>
                <w:spacing w:val="-2"/>
              </w:rPr>
            </w:pPr>
            <w:r w:rsidRPr="008D423F">
              <w:rPr>
                <w:rFonts w:ascii="Times New Roman" w:hAnsi="Times New Roman"/>
                <w:spacing w:val="-2"/>
              </w:rPr>
              <w:t>Co do zasady wszystkie państwa członkowskie UE są bezwzględnie zobowiązane do stosowania przepisów UE i do dostosowania do nich prawa krajowego.</w:t>
            </w:r>
          </w:p>
          <w:p w:rsidR="00D5136C" w:rsidRPr="008D423F" w:rsidRDefault="00D5136C" w:rsidP="00F41B81">
            <w:pPr>
              <w:spacing w:line="240" w:lineRule="auto"/>
              <w:jc w:val="both"/>
              <w:rPr>
                <w:rFonts w:ascii="Times New Roman" w:hAnsi="Times New Roman"/>
                <w:spacing w:val="-2"/>
              </w:rPr>
            </w:pPr>
            <w:bookmarkStart w:id="4" w:name="_MailEndCompose"/>
            <w:r w:rsidRPr="008D423F">
              <w:rPr>
                <w:rFonts w:ascii="Times New Roman" w:hAnsi="Times New Roman"/>
                <w:spacing w:val="-2"/>
              </w:rPr>
              <w:t>W odniesieniu do finansowania koordynatorów i organizatorów lotów w UE stosowane są różne rozwiązania. W zależności od kraju działalność ta finansowana jest  z opłat wnoszonych przez przewoźników lotniczych, porty lotnicze a w ograniczonych przypadkach finansowana również z przychodów z dodatkowej działalności, opłat nawigacyjnych oraz ze środków państwowych, przy czym stosowane są różne konfiguracje tych rozwiązań oraz różny katalog podmiotów zobowiązanych do ponoszenia opłat. Najbardziej zbliżone rozwiązania do polskiej propozycji stosowane są w Austrii, Belgii, Włoszech i Portugalii.</w:t>
            </w:r>
            <w:bookmarkEnd w:id="4"/>
            <w:r w:rsidRPr="008D423F">
              <w:rPr>
                <w:rFonts w:ascii="Times New Roman" w:hAnsi="Times New Roman"/>
                <w:spacing w:val="-2"/>
              </w:rPr>
              <w:t xml:space="preserve"> W Austrii i Belgii finansowanie z opłat związanych z wykonaną operacją lotniczą zapewnia skuteczność działania koordynatora i spełnia wymóg jasności i transparentności pobieranych opłat.</w:t>
            </w:r>
          </w:p>
          <w:p w:rsidR="00D5136C" w:rsidRPr="008D423F" w:rsidRDefault="00D5136C" w:rsidP="00F41B81">
            <w:pPr>
              <w:spacing w:line="240" w:lineRule="auto"/>
              <w:jc w:val="both"/>
              <w:rPr>
                <w:rFonts w:ascii="Times New Roman" w:hAnsi="Times New Roman"/>
                <w:spacing w:val="-2"/>
              </w:rPr>
            </w:pPr>
            <w:r w:rsidRPr="008D423F">
              <w:rPr>
                <w:rFonts w:ascii="Times New Roman" w:hAnsi="Times New Roman"/>
                <w:spacing w:val="-2"/>
              </w:rPr>
              <w:t>W odniesieniu do opłat terminalowych wiele państw w UE skorzystało z wyłączenia mniejszych lotnisk spod reżimu unijnego dotyczącego opłat nawigacyjnych. W niektórych państwach koszty zapewniania służb terminalowych włączane są do opłat lotniskowych (np. Wielka Brytania, Szwecja).</w:t>
            </w:r>
          </w:p>
          <w:p w:rsidR="00D5136C" w:rsidRPr="008D423F" w:rsidRDefault="00D5136C" w:rsidP="00F41B81">
            <w:pPr>
              <w:spacing w:line="240" w:lineRule="auto"/>
              <w:jc w:val="both"/>
              <w:rPr>
                <w:rFonts w:ascii="Times New Roman" w:hAnsi="Times New Roman"/>
                <w:u w:val="single"/>
                <w:lang w:eastAsia="pl-PL"/>
              </w:rPr>
            </w:pPr>
            <w:r w:rsidRPr="008D423F">
              <w:rPr>
                <w:rFonts w:ascii="Times New Roman" w:hAnsi="Times New Roman"/>
                <w:u w:val="single"/>
                <w:lang w:eastAsia="pl-PL"/>
              </w:rPr>
              <w:t>Prawa Pasażerów:</w:t>
            </w:r>
          </w:p>
          <w:p w:rsidR="00D5136C" w:rsidRPr="008D423F" w:rsidRDefault="00D5136C" w:rsidP="00F41B81">
            <w:pPr>
              <w:spacing w:line="240" w:lineRule="auto"/>
              <w:jc w:val="both"/>
              <w:rPr>
                <w:rFonts w:ascii="Times New Roman" w:hAnsi="Times New Roman"/>
                <w:lang w:eastAsia="pl-PL"/>
              </w:rPr>
            </w:pPr>
            <w:r w:rsidRPr="008D423F">
              <w:rPr>
                <w:rFonts w:ascii="Times New Roman" w:hAnsi="Times New Roman"/>
                <w:lang w:eastAsia="pl-PL"/>
              </w:rPr>
              <w:t xml:space="preserve">Każdy kraj EOG posiada własny model wykonywania kompetencji Krajowego Organu Wykonawczego w odniesieniu do </w:t>
            </w:r>
            <w:r w:rsidRPr="008D423F">
              <w:rPr>
                <w:rFonts w:ascii="Times New Roman" w:hAnsi="Times New Roman"/>
                <w:lang w:eastAsia="pl-PL"/>
              </w:rPr>
              <w:lastRenderedPageBreak/>
              <w:t xml:space="preserve">rozporządzeń nr 261/2004/WE, nr 2111/2005/WE oraz nr 1107/2006/WE. </w:t>
            </w:r>
          </w:p>
          <w:p w:rsidR="00D5136C" w:rsidRDefault="00D5136C" w:rsidP="00F41B81">
            <w:pPr>
              <w:spacing w:line="240" w:lineRule="auto"/>
              <w:jc w:val="both"/>
              <w:rPr>
                <w:rFonts w:ascii="Times New Roman" w:hAnsi="Times New Roman"/>
                <w:lang w:eastAsia="pl-PL"/>
              </w:rPr>
            </w:pPr>
            <w:r w:rsidRPr="008D423F">
              <w:rPr>
                <w:rFonts w:ascii="Times New Roman" w:hAnsi="Times New Roman"/>
                <w:lang w:eastAsia="pl-PL"/>
              </w:rPr>
              <w:t>Obecnie obowiązujący model oparty na zasadzie skargowości wzorowany był na modelu niemieckim, w którym jako Krajowy Organ Wykonawczy został wyznaczony Federalny Urząd Lotnictwa (Luftfahrt-Bundesamt; dalej: LBA), jednakże obecnie funkcja LBA została ograniczona jedynie do nadzoru. Dodatkowo ustawodawca niemiecki wprowadził procedurę pojednawczą dla sporów pomiędzy pasażerami a liniami lotniczymi, zgodnie z którą przewoźnicy mają obowiązek ustanowienia organu arbitrażowego albo przystąpienia do już istniejącego pod rygorem poddania spraw mediacji prowadzonej z urzędu przez Federalne Biuro Sprawiedliwości (Bundesamt für Justiz, BFJ).</w:t>
            </w:r>
          </w:p>
          <w:p w:rsidR="00D5136C" w:rsidRPr="00D5136C" w:rsidRDefault="00D5136C" w:rsidP="00F41B81">
            <w:pPr>
              <w:spacing w:line="240" w:lineRule="auto"/>
              <w:jc w:val="both"/>
              <w:rPr>
                <w:rFonts w:ascii="Times New Roman" w:hAnsi="Times New Roman"/>
                <w:sz w:val="24"/>
                <w:szCs w:val="24"/>
                <w:u w:val="single"/>
                <w:lang w:eastAsia="pl-PL"/>
              </w:rPr>
            </w:pPr>
            <w:r w:rsidRPr="00D5136C">
              <w:rPr>
                <w:rFonts w:ascii="Times New Roman" w:hAnsi="Times New Roman"/>
                <w:sz w:val="24"/>
                <w:szCs w:val="24"/>
                <w:u w:val="single"/>
                <w:lang w:eastAsia="pl-PL"/>
              </w:rPr>
              <w:t>Lotniska:</w:t>
            </w:r>
          </w:p>
          <w:p w:rsidR="00363309" w:rsidRPr="00B37C80" w:rsidRDefault="00D5136C" w:rsidP="00F41B81">
            <w:pPr>
              <w:spacing w:line="240" w:lineRule="auto"/>
              <w:jc w:val="both"/>
              <w:rPr>
                <w:rFonts w:ascii="Times New Roman" w:hAnsi="Times New Roman"/>
                <w:color w:val="000000"/>
                <w:spacing w:val="-2"/>
              </w:rPr>
            </w:pPr>
            <w:r w:rsidRPr="00D5136C">
              <w:rPr>
                <w:rFonts w:ascii="Times New Roman" w:hAnsi="Times New Roman"/>
                <w:sz w:val="24"/>
                <w:szCs w:val="24"/>
                <w:lang w:eastAsia="pl-PL"/>
              </w:rPr>
              <w:t>Rozporządzenie nr 139/2014</w:t>
            </w:r>
            <w:r w:rsidR="006F5130">
              <w:rPr>
                <w:rFonts w:ascii="Times New Roman" w:hAnsi="Times New Roman"/>
                <w:sz w:val="24"/>
                <w:szCs w:val="24"/>
                <w:lang w:eastAsia="pl-PL"/>
              </w:rPr>
              <w:t>/UE</w:t>
            </w:r>
            <w:r w:rsidRPr="00D5136C">
              <w:rPr>
                <w:rFonts w:ascii="Times New Roman" w:hAnsi="Times New Roman"/>
                <w:sz w:val="24"/>
                <w:szCs w:val="24"/>
                <w:lang w:eastAsia="pl-PL"/>
              </w:rPr>
              <w:t xml:space="preserve"> umożliwia elastyczne podejście do wdrożenia wymagań dla lotnisk, mając na uwadze uwarunkowania lokalne, odmienne systemy prawne oraz możliwość stosowania własnych, sprawdzonych, często bardziej restrykcyjnych rozwiązań.</w:t>
            </w:r>
            <w:r w:rsidR="006F5130">
              <w:rPr>
                <w:rFonts w:ascii="Times New Roman" w:hAnsi="Times New Roman"/>
                <w:sz w:val="24"/>
                <w:szCs w:val="24"/>
                <w:lang w:eastAsia="pl-PL"/>
              </w:rPr>
              <w:t xml:space="preserve"> Jednocześnie</w:t>
            </w:r>
            <w:r w:rsidRPr="00D5136C">
              <w:rPr>
                <w:rFonts w:ascii="Times New Roman" w:hAnsi="Times New Roman"/>
                <w:sz w:val="24"/>
                <w:szCs w:val="24"/>
                <w:lang w:eastAsia="pl-PL"/>
              </w:rPr>
              <w:t xml:space="preserve"> rozporządzenie to przewiduje okres na jego pełne wdrożenie do końca roku 2017, stąd też na obecnym etapie w większości Państw dostosowanie działań do nowych wymogów jest dopiero na początkowym etapie.</w:t>
            </w:r>
          </w:p>
          <w:p w:rsidR="006A701A" w:rsidRPr="00B37C80" w:rsidRDefault="006A701A" w:rsidP="00F41B81">
            <w:pPr>
              <w:spacing w:line="240" w:lineRule="auto"/>
              <w:jc w:val="both"/>
              <w:rPr>
                <w:rFonts w:ascii="Times New Roman" w:hAnsi="Times New Roman"/>
                <w:color w:val="000000"/>
                <w:spacing w:val="-2"/>
              </w:rPr>
            </w:pPr>
          </w:p>
        </w:tc>
      </w:tr>
      <w:tr w:rsidR="006A701A" w:rsidRPr="008B4FE6" w:rsidTr="00676C8D">
        <w:trPr>
          <w:gridAfter w:val="1"/>
          <w:wAfter w:w="10" w:type="dxa"/>
          <w:trHeight w:val="359"/>
        </w:trPr>
        <w:tc>
          <w:tcPr>
            <w:tcW w:w="10937" w:type="dxa"/>
            <w:gridSpan w:val="29"/>
            <w:shd w:val="clear" w:color="auto" w:fill="99CCFF"/>
            <w:vAlign w:val="center"/>
          </w:tcPr>
          <w:p w:rsidR="006A701A" w:rsidRPr="008B4FE6" w:rsidRDefault="006A701A" w:rsidP="00F41B8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260F33" w:rsidRPr="008B4FE6" w:rsidTr="00676C8D">
        <w:trPr>
          <w:gridAfter w:val="1"/>
          <w:wAfter w:w="10" w:type="dxa"/>
          <w:trHeight w:val="142"/>
        </w:trPr>
        <w:tc>
          <w:tcPr>
            <w:tcW w:w="2668" w:type="dxa"/>
            <w:gridSpan w:val="3"/>
            <w:shd w:val="clear" w:color="auto" w:fill="auto"/>
          </w:tcPr>
          <w:p w:rsidR="00260F33" w:rsidRPr="008B4FE6" w:rsidRDefault="00260F33" w:rsidP="00F41B81">
            <w:pPr>
              <w:spacing w:before="40" w:line="240" w:lineRule="auto"/>
              <w:jc w:val="both"/>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rsidR="00260F33" w:rsidRPr="008B4FE6" w:rsidRDefault="00563199" w:rsidP="00F41B81">
            <w:pPr>
              <w:spacing w:before="40" w:line="240" w:lineRule="auto"/>
              <w:jc w:val="both"/>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rsidR="00260F33" w:rsidRPr="008B4FE6" w:rsidRDefault="00260F33" w:rsidP="00F41B81">
            <w:pPr>
              <w:spacing w:before="40" w:line="240" w:lineRule="auto"/>
              <w:jc w:val="both"/>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shd w:val="clear" w:color="auto" w:fill="auto"/>
          </w:tcPr>
          <w:p w:rsidR="00260F33" w:rsidRPr="008B4FE6" w:rsidRDefault="00260F33" w:rsidP="00F41B81">
            <w:pPr>
              <w:spacing w:before="40" w:line="240" w:lineRule="auto"/>
              <w:jc w:val="both"/>
              <w:rPr>
                <w:rFonts w:ascii="Times New Roman" w:hAnsi="Times New Roman"/>
                <w:color w:val="000000"/>
                <w:spacing w:val="-2"/>
              </w:rPr>
            </w:pPr>
            <w:r w:rsidRPr="008B4FE6">
              <w:rPr>
                <w:rFonts w:ascii="Times New Roman" w:hAnsi="Times New Roman"/>
                <w:color w:val="000000"/>
                <w:spacing w:val="-2"/>
              </w:rPr>
              <w:t>Oddziaływanie</w:t>
            </w:r>
          </w:p>
        </w:tc>
      </w:tr>
      <w:tr w:rsidR="00260F33" w:rsidRPr="008B4FE6" w:rsidTr="00676C8D">
        <w:trPr>
          <w:gridAfter w:val="1"/>
          <w:wAfter w:w="10" w:type="dxa"/>
          <w:trHeight w:val="142"/>
        </w:trPr>
        <w:tc>
          <w:tcPr>
            <w:tcW w:w="2668" w:type="dxa"/>
            <w:gridSpan w:val="3"/>
            <w:shd w:val="clear" w:color="auto" w:fill="auto"/>
          </w:tcPr>
          <w:p w:rsidR="00260F33" w:rsidRPr="008B4FE6" w:rsidRDefault="004C52AB" w:rsidP="00F41B81">
            <w:pPr>
              <w:spacing w:line="240" w:lineRule="auto"/>
              <w:jc w:val="both"/>
              <w:rPr>
                <w:rFonts w:ascii="Times New Roman" w:hAnsi="Times New Roman"/>
                <w:color w:val="000000"/>
                <w:spacing w:val="-2"/>
              </w:rPr>
            </w:pPr>
            <w:r w:rsidRPr="008D423F">
              <w:rPr>
                <w:rFonts w:ascii="Times New Roman" w:hAnsi="Times New Roman"/>
                <w:lang w:eastAsia="pl-PL"/>
              </w:rPr>
              <w:t>Przewoźnicy lotniczy</w:t>
            </w:r>
          </w:p>
        </w:tc>
        <w:tc>
          <w:tcPr>
            <w:tcW w:w="2292" w:type="dxa"/>
            <w:gridSpan w:val="8"/>
            <w:shd w:val="clear" w:color="auto" w:fill="auto"/>
          </w:tcPr>
          <w:p w:rsidR="004C52AB" w:rsidRPr="008D423F" w:rsidRDefault="004C52AB" w:rsidP="00F41B81">
            <w:pPr>
              <w:spacing w:line="240" w:lineRule="auto"/>
              <w:jc w:val="both"/>
              <w:rPr>
                <w:rFonts w:ascii="Times New Roman" w:hAnsi="Times New Roman"/>
                <w:spacing w:val="-2"/>
              </w:rPr>
            </w:pPr>
            <w:r w:rsidRPr="008D423F">
              <w:rPr>
                <w:rFonts w:ascii="Times New Roman" w:hAnsi="Times New Roman"/>
                <w:spacing w:val="-2"/>
              </w:rPr>
              <w:t>32</w:t>
            </w:r>
          </w:p>
          <w:p w:rsidR="00260F33" w:rsidRPr="00B37C80" w:rsidRDefault="00260F33" w:rsidP="00F41B81">
            <w:pPr>
              <w:spacing w:line="240" w:lineRule="auto"/>
              <w:jc w:val="both"/>
              <w:rPr>
                <w:rFonts w:ascii="Times New Roman" w:hAnsi="Times New Roman"/>
                <w:color w:val="000000"/>
                <w:spacing w:val="-2"/>
              </w:rPr>
            </w:pPr>
          </w:p>
        </w:tc>
        <w:tc>
          <w:tcPr>
            <w:tcW w:w="2996" w:type="dxa"/>
            <w:gridSpan w:val="12"/>
            <w:shd w:val="clear" w:color="auto" w:fill="auto"/>
          </w:tcPr>
          <w:p w:rsidR="004C52AB" w:rsidRPr="008D423F" w:rsidRDefault="004C52AB" w:rsidP="00F41B81">
            <w:pPr>
              <w:spacing w:line="240" w:lineRule="auto"/>
              <w:jc w:val="both"/>
              <w:rPr>
                <w:rFonts w:ascii="Times New Roman" w:hAnsi="Times New Roman"/>
                <w:spacing w:val="-2"/>
              </w:rPr>
            </w:pPr>
            <w:r w:rsidRPr="008D423F">
              <w:rPr>
                <w:rFonts w:ascii="Times New Roman" w:hAnsi="Times New Roman"/>
                <w:spacing w:val="-2"/>
              </w:rPr>
              <w:t>Wykaz posiadaczy certyfikatów AOC</w:t>
            </w:r>
          </w:p>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spacing w:val="-2"/>
              </w:rPr>
              <w:t>(baza własna Urzędu Lotnictwa Cywilnego)</w:t>
            </w:r>
          </w:p>
        </w:tc>
        <w:tc>
          <w:tcPr>
            <w:tcW w:w="2981" w:type="dxa"/>
            <w:gridSpan w:val="6"/>
            <w:shd w:val="clear" w:color="auto" w:fill="auto"/>
          </w:tcPr>
          <w:p w:rsidR="004C52AB" w:rsidRPr="008D423F" w:rsidRDefault="004C52AB" w:rsidP="00F41B81">
            <w:pPr>
              <w:pStyle w:val="Akapitzlist"/>
              <w:spacing w:line="240" w:lineRule="auto"/>
              <w:ind w:left="0"/>
              <w:jc w:val="both"/>
              <w:rPr>
                <w:rFonts w:ascii="Times New Roman" w:hAnsi="Times New Roman"/>
                <w:lang w:eastAsia="pl-PL"/>
              </w:rPr>
            </w:pPr>
            <w:r w:rsidRPr="008D423F">
              <w:rPr>
                <w:rFonts w:ascii="Times New Roman" w:hAnsi="Times New Roman"/>
                <w:lang w:eastAsia="pl-PL"/>
              </w:rPr>
              <w:t>Przewoźnicy lotniczy oraz pośrednio załogi statków powietrznych</w:t>
            </w:r>
          </w:p>
          <w:p w:rsidR="004C52AB" w:rsidRPr="008D423F" w:rsidRDefault="004C52AB" w:rsidP="00F41B81">
            <w:pPr>
              <w:pStyle w:val="Akapitzlist"/>
              <w:spacing w:line="240" w:lineRule="auto"/>
              <w:ind w:left="0"/>
              <w:jc w:val="both"/>
              <w:rPr>
                <w:rFonts w:ascii="Times New Roman" w:hAnsi="Times New Roman"/>
                <w:lang w:eastAsia="pl-PL"/>
              </w:rPr>
            </w:pPr>
            <w:r w:rsidRPr="008D423F">
              <w:rPr>
                <w:rFonts w:ascii="Times New Roman" w:hAnsi="Times New Roman"/>
                <w:lang w:eastAsia="pl-PL"/>
              </w:rPr>
              <w:t>zmniejszenie kosztów obsługi postępowań przed ULC.</w:t>
            </w:r>
          </w:p>
          <w:p w:rsidR="00260F33" w:rsidRPr="001C5924" w:rsidRDefault="004C52AB" w:rsidP="00F41B81">
            <w:pPr>
              <w:spacing w:line="240" w:lineRule="auto"/>
              <w:jc w:val="both"/>
              <w:rPr>
                <w:rFonts w:ascii="Times New Roman" w:hAnsi="Times New Roman"/>
                <w:color w:val="000000"/>
                <w:spacing w:val="-2"/>
              </w:rPr>
            </w:pPr>
            <w:r w:rsidRPr="001C5924">
              <w:rPr>
                <w:rFonts w:ascii="Times New Roman" w:eastAsia="Times New Roman" w:hAnsi="Times New Roman"/>
                <w:lang w:eastAsia="pl-PL"/>
              </w:rPr>
              <w:t>Koszty dla przewoźników naruszających prawo w zakresie przestrzegania slotów oraz jednocześnie korzyści dla pozostałych przewoźników, m.in. w postaci redukcji opóźnień wynikające z lepiej funkcjonującego systemu koordynacji rozkładów lotów.</w:t>
            </w:r>
          </w:p>
        </w:tc>
      </w:tr>
      <w:tr w:rsidR="00260F33" w:rsidRPr="008B4FE6" w:rsidTr="00676C8D">
        <w:trPr>
          <w:gridAfter w:val="1"/>
          <w:wAfter w:w="10" w:type="dxa"/>
          <w:trHeight w:val="142"/>
        </w:trPr>
        <w:tc>
          <w:tcPr>
            <w:tcW w:w="2668" w:type="dxa"/>
            <w:gridSpan w:val="3"/>
            <w:shd w:val="clear" w:color="auto" w:fill="auto"/>
          </w:tcPr>
          <w:p w:rsidR="00260F33" w:rsidRPr="008B4FE6" w:rsidRDefault="004C52AB" w:rsidP="00F41B81">
            <w:pPr>
              <w:spacing w:line="240" w:lineRule="auto"/>
              <w:jc w:val="both"/>
              <w:rPr>
                <w:rFonts w:ascii="Times New Roman" w:hAnsi="Times New Roman"/>
                <w:color w:val="000000"/>
                <w:spacing w:val="-2"/>
              </w:rPr>
            </w:pPr>
            <w:r w:rsidRPr="008D423F">
              <w:rPr>
                <w:rFonts w:ascii="Times New Roman" w:hAnsi="Times New Roman"/>
                <w:lang w:eastAsia="pl-PL"/>
              </w:rPr>
              <w:t>Wspólnotowi przewoźnicy lotniczy</w:t>
            </w:r>
          </w:p>
        </w:tc>
        <w:tc>
          <w:tcPr>
            <w:tcW w:w="2292" w:type="dxa"/>
            <w:gridSpan w:val="8"/>
            <w:shd w:val="clear" w:color="auto" w:fill="auto"/>
          </w:tcPr>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spacing w:val="-2"/>
              </w:rPr>
              <w:t>przewoźnicy lotniczy z państw członkowskich EOG</w:t>
            </w:r>
          </w:p>
        </w:tc>
        <w:tc>
          <w:tcPr>
            <w:tcW w:w="2996" w:type="dxa"/>
            <w:gridSpan w:val="12"/>
            <w:shd w:val="clear" w:color="auto" w:fill="auto"/>
          </w:tcPr>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spacing w:val="-2"/>
              </w:rPr>
              <w:t>UE baza CIRCA</w:t>
            </w:r>
          </w:p>
        </w:tc>
        <w:tc>
          <w:tcPr>
            <w:tcW w:w="2981" w:type="dxa"/>
            <w:gridSpan w:val="6"/>
            <w:shd w:val="clear" w:color="auto" w:fill="auto"/>
          </w:tcPr>
          <w:p w:rsidR="00260F33" w:rsidRPr="00B37C80" w:rsidRDefault="00D70749" w:rsidP="00F41B81">
            <w:pPr>
              <w:spacing w:line="240" w:lineRule="auto"/>
              <w:jc w:val="both"/>
              <w:rPr>
                <w:rFonts w:ascii="Times New Roman" w:hAnsi="Times New Roman"/>
                <w:color w:val="000000"/>
                <w:spacing w:val="-2"/>
              </w:rPr>
            </w:pPr>
            <w:r>
              <w:rPr>
                <w:rFonts w:ascii="Times New Roman" w:hAnsi="Times New Roman"/>
                <w:lang w:eastAsia="pl-PL"/>
              </w:rPr>
              <w:t>U</w:t>
            </w:r>
            <w:r w:rsidR="004C52AB" w:rsidRPr="008D423F">
              <w:rPr>
                <w:rFonts w:ascii="Times New Roman" w:hAnsi="Times New Roman"/>
                <w:lang w:eastAsia="pl-PL"/>
              </w:rPr>
              <w:t>sunięcie dodatkowych wymagań w celu rozpoczęcia wykonywania przewozów lotniczych do państw trzecich</w:t>
            </w:r>
            <w:r w:rsidR="005F7C1E">
              <w:rPr>
                <w:rFonts w:ascii="Times New Roman" w:hAnsi="Times New Roman"/>
                <w:lang w:eastAsia="pl-PL"/>
              </w:rPr>
              <w:t>.</w:t>
            </w:r>
          </w:p>
        </w:tc>
      </w:tr>
      <w:tr w:rsidR="00260F33" w:rsidRPr="008B4FE6" w:rsidTr="00676C8D">
        <w:trPr>
          <w:gridAfter w:val="1"/>
          <w:wAfter w:w="10" w:type="dxa"/>
          <w:trHeight w:val="142"/>
        </w:trPr>
        <w:tc>
          <w:tcPr>
            <w:tcW w:w="2668" w:type="dxa"/>
            <w:gridSpan w:val="3"/>
            <w:shd w:val="clear" w:color="auto" w:fill="auto"/>
          </w:tcPr>
          <w:p w:rsidR="00260F33" w:rsidRPr="008B4FE6" w:rsidRDefault="004C52AB" w:rsidP="00F41B81">
            <w:pPr>
              <w:spacing w:line="240" w:lineRule="auto"/>
              <w:jc w:val="both"/>
              <w:rPr>
                <w:rFonts w:ascii="Times New Roman" w:hAnsi="Times New Roman"/>
                <w:color w:val="000000"/>
                <w:spacing w:val="-2"/>
              </w:rPr>
            </w:pPr>
            <w:r w:rsidRPr="008D423F">
              <w:rPr>
                <w:rFonts w:ascii="Times New Roman" w:hAnsi="Times New Roman"/>
                <w:lang w:eastAsia="pl-PL"/>
              </w:rPr>
              <w:t>Przewoźnicy lotniczy z państw trzecich</w:t>
            </w:r>
          </w:p>
        </w:tc>
        <w:tc>
          <w:tcPr>
            <w:tcW w:w="2292" w:type="dxa"/>
            <w:gridSpan w:val="8"/>
            <w:shd w:val="clear" w:color="auto" w:fill="auto"/>
          </w:tcPr>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spacing w:val="-2"/>
              </w:rPr>
              <w:t>ok. 30 aktualnie wykonujących przewozy lotnicze do / z RP</w:t>
            </w:r>
          </w:p>
        </w:tc>
        <w:tc>
          <w:tcPr>
            <w:tcW w:w="2996" w:type="dxa"/>
            <w:gridSpan w:val="12"/>
            <w:shd w:val="clear" w:color="auto" w:fill="auto"/>
          </w:tcPr>
          <w:p w:rsidR="00260F33" w:rsidRPr="00B37C80" w:rsidRDefault="00D70749" w:rsidP="00F41B81">
            <w:pPr>
              <w:spacing w:line="240" w:lineRule="auto"/>
              <w:jc w:val="both"/>
              <w:rPr>
                <w:rFonts w:ascii="Times New Roman" w:hAnsi="Times New Roman"/>
                <w:color w:val="000000"/>
                <w:spacing w:val="-2"/>
              </w:rPr>
            </w:pPr>
            <w:r w:rsidRPr="00D70749">
              <w:rPr>
                <w:rFonts w:ascii="Times New Roman" w:hAnsi="Times New Roman"/>
                <w:spacing w:val="-2"/>
              </w:rPr>
              <w:t>B</w:t>
            </w:r>
            <w:r w:rsidR="004C52AB" w:rsidRPr="00D70749">
              <w:rPr>
                <w:rFonts w:ascii="Times New Roman" w:hAnsi="Times New Roman"/>
                <w:spacing w:val="-2"/>
              </w:rPr>
              <w:t>aza</w:t>
            </w:r>
            <w:r w:rsidR="004C52AB" w:rsidRPr="008D423F">
              <w:rPr>
                <w:rFonts w:ascii="Times New Roman" w:hAnsi="Times New Roman"/>
                <w:spacing w:val="-2"/>
              </w:rPr>
              <w:t xml:space="preserve"> własna Urzędu Lotnictwa Cywilnego</w:t>
            </w:r>
          </w:p>
        </w:tc>
        <w:tc>
          <w:tcPr>
            <w:tcW w:w="2981" w:type="dxa"/>
            <w:gridSpan w:val="6"/>
            <w:shd w:val="clear" w:color="auto" w:fill="auto"/>
          </w:tcPr>
          <w:p w:rsidR="00260F33" w:rsidRPr="00B37C80" w:rsidRDefault="00D70749" w:rsidP="00F41B81">
            <w:pPr>
              <w:spacing w:line="240" w:lineRule="auto"/>
              <w:jc w:val="both"/>
              <w:rPr>
                <w:rFonts w:ascii="Times New Roman" w:hAnsi="Times New Roman"/>
                <w:color w:val="000000"/>
                <w:spacing w:val="-2"/>
              </w:rPr>
            </w:pPr>
            <w:r>
              <w:rPr>
                <w:rFonts w:ascii="Times New Roman" w:hAnsi="Times New Roman"/>
                <w:lang w:eastAsia="pl-PL"/>
              </w:rPr>
              <w:t>U</w:t>
            </w:r>
            <w:r w:rsidR="004C52AB" w:rsidRPr="008D423F">
              <w:rPr>
                <w:rFonts w:ascii="Times New Roman" w:hAnsi="Times New Roman"/>
                <w:lang w:eastAsia="pl-PL"/>
              </w:rPr>
              <w:t>łatwienie – poprzez rezygnację z 2 dokumentów i wprowadzenie jednego wymaganego przez UE</w:t>
            </w:r>
            <w:r w:rsidR="005F7C1E">
              <w:rPr>
                <w:rFonts w:ascii="Times New Roman" w:hAnsi="Times New Roman"/>
                <w:lang w:eastAsia="pl-PL"/>
              </w:rPr>
              <w:t>.</w:t>
            </w:r>
          </w:p>
        </w:tc>
      </w:tr>
      <w:tr w:rsidR="00260F33" w:rsidRPr="008B4FE6" w:rsidTr="00676C8D">
        <w:trPr>
          <w:gridAfter w:val="1"/>
          <w:wAfter w:w="10" w:type="dxa"/>
          <w:trHeight w:val="142"/>
        </w:trPr>
        <w:tc>
          <w:tcPr>
            <w:tcW w:w="2668" w:type="dxa"/>
            <w:gridSpan w:val="3"/>
            <w:shd w:val="clear" w:color="auto" w:fill="auto"/>
          </w:tcPr>
          <w:p w:rsidR="00260F33" w:rsidRPr="008B4FE6" w:rsidRDefault="004C52AB" w:rsidP="00F41B81">
            <w:pPr>
              <w:tabs>
                <w:tab w:val="left" w:pos="1560"/>
              </w:tabs>
              <w:spacing w:line="240" w:lineRule="auto"/>
              <w:jc w:val="both"/>
              <w:rPr>
                <w:rFonts w:ascii="Times New Roman" w:hAnsi="Times New Roman"/>
                <w:color w:val="000000"/>
              </w:rPr>
            </w:pPr>
            <w:r w:rsidRPr="008D423F">
              <w:rPr>
                <w:rFonts w:ascii="Times New Roman" w:hAnsi="Times New Roman"/>
                <w:lang w:eastAsia="pl-PL"/>
              </w:rPr>
              <w:t>Pasażerowie w transporcie lotniczym</w:t>
            </w:r>
          </w:p>
        </w:tc>
        <w:tc>
          <w:tcPr>
            <w:tcW w:w="2292" w:type="dxa"/>
            <w:gridSpan w:val="8"/>
            <w:shd w:val="clear" w:color="auto" w:fill="auto"/>
          </w:tcPr>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spacing w:val="-2"/>
              </w:rPr>
              <w:t>nieograniczona</w:t>
            </w:r>
          </w:p>
        </w:tc>
        <w:tc>
          <w:tcPr>
            <w:tcW w:w="2996" w:type="dxa"/>
            <w:gridSpan w:val="12"/>
            <w:shd w:val="clear" w:color="auto" w:fill="auto"/>
          </w:tcPr>
          <w:p w:rsidR="00260F33" w:rsidRPr="00B37C80" w:rsidRDefault="00D70749" w:rsidP="00F41B81">
            <w:pPr>
              <w:spacing w:line="240" w:lineRule="auto"/>
              <w:jc w:val="both"/>
              <w:rPr>
                <w:rFonts w:ascii="Times New Roman" w:hAnsi="Times New Roman"/>
                <w:color w:val="000000"/>
                <w:spacing w:val="-2"/>
              </w:rPr>
            </w:pPr>
            <w:r>
              <w:rPr>
                <w:rFonts w:ascii="Times New Roman" w:hAnsi="Times New Roman"/>
                <w:spacing w:val="-2"/>
              </w:rPr>
              <w:t>D</w:t>
            </w:r>
            <w:r w:rsidR="004C52AB" w:rsidRPr="008D423F">
              <w:rPr>
                <w:rFonts w:ascii="Times New Roman" w:hAnsi="Times New Roman"/>
                <w:spacing w:val="-2"/>
              </w:rPr>
              <w:t>ane własne Urzędu Lotnictwa Cywilnego</w:t>
            </w:r>
          </w:p>
        </w:tc>
        <w:tc>
          <w:tcPr>
            <w:tcW w:w="2981" w:type="dxa"/>
            <w:gridSpan w:val="6"/>
            <w:shd w:val="clear" w:color="auto" w:fill="auto"/>
          </w:tcPr>
          <w:p w:rsidR="00260F33" w:rsidRPr="00B37C80" w:rsidRDefault="00D70749" w:rsidP="00F41B81">
            <w:pPr>
              <w:spacing w:line="240" w:lineRule="auto"/>
              <w:jc w:val="both"/>
              <w:rPr>
                <w:rFonts w:ascii="Times New Roman" w:hAnsi="Times New Roman"/>
                <w:color w:val="000000"/>
                <w:spacing w:val="-2"/>
              </w:rPr>
            </w:pPr>
            <w:r>
              <w:rPr>
                <w:rFonts w:ascii="Times New Roman" w:hAnsi="Times New Roman"/>
                <w:lang w:eastAsia="pl-PL"/>
              </w:rPr>
              <w:t>R</w:t>
            </w:r>
            <w:r w:rsidR="004C52AB" w:rsidRPr="008D423F">
              <w:rPr>
                <w:rFonts w:ascii="Times New Roman" w:hAnsi="Times New Roman"/>
                <w:lang w:eastAsia="pl-PL"/>
              </w:rPr>
              <w:t>ozpoznanie sprawy bez konieczności zainicjowania postępowania</w:t>
            </w:r>
            <w:r w:rsidR="005F7C1E">
              <w:rPr>
                <w:rFonts w:ascii="Times New Roman" w:hAnsi="Times New Roman"/>
                <w:lang w:eastAsia="pl-PL"/>
              </w:rPr>
              <w:t>.</w:t>
            </w:r>
          </w:p>
        </w:tc>
      </w:tr>
      <w:tr w:rsidR="00260F33" w:rsidRPr="008B4FE6" w:rsidTr="00676C8D">
        <w:trPr>
          <w:gridAfter w:val="1"/>
          <w:wAfter w:w="10" w:type="dxa"/>
          <w:trHeight w:val="142"/>
        </w:trPr>
        <w:tc>
          <w:tcPr>
            <w:tcW w:w="2668" w:type="dxa"/>
            <w:gridSpan w:val="3"/>
            <w:shd w:val="clear" w:color="auto" w:fill="auto"/>
          </w:tcPr>
          <w:p w:rsidR="00260F33" w:rsidRPr="008B4FE6" w:rsidRDefault="004C52AB" w:rsidP="00F41B81">
            <w:pPr>
              <w:tabs>
                <w:tab w:val="left" w:pos="1560"/>
              </w:tabs>
              <w:spacing w:line="240" w:lineRule="auto"/>
              <w:jc w:val="both"/>
              <w:rPr>
                <w:rFonts w:ascii="Times New Roman" w:hAnsi="Times New Roman"/>
                <w:color w:val="000000"/>
              </w:rPr>
            </w:pPr>
            <w:r w:rsidRPr="008D423F">
              <w:rPr>
                <w:rFonts w:ascii="Times New Roman" w:hAnsi="Times New Roman"/>
              </w:rPr>
              <w:t>Właściciele/ Użytkownicy Statków powietrznych zarejestrowanych  w rejestrze cywilnych statków powietrznych</w:t>
            </w:r>
          </w:p>
        </w:tc>
        <w:tc>
          <w:tcPr>
            <w:tcW w:w="2292" w:type="dxa"/>
            <w:gridSpan w:val="8"/>
            <w:shd w:val="clear" w:color="auto" w:fill="auto"/>
          </w:tcPr>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spacing w:val="-2"/>
              </w:rPr>
              <w:t>2360</w:t>
            </w:r>
          </w:p>
        </w:tc>
        <w:tc>
          <w:tcPr>
            <w:tcW w:w="2996" w:type="dxa"/>
            <w:gridSpan w:val="12"/>
            <w:shd w:val="clear" w:color="auto" w:fill="auto"/>
          </w:tcPr>
          <w:p w:rsidR="00260F33" w:rsidRPr="00B37C80" w:rsidRDefault="00D70749" w:rsidP="00F41B81">
            <w:pPr>
              <w:spacing w:line="240" w:lineRule="auto"/>
              <w:jc w:val="both"/>
              <w:rPr>
                <w:rFonts w:ascii="Times New Roman" w:hAnsi="Times New Roman"/>
                <w:color w:val="000000"/>
                <w:spacing w:val="-2"/>
              </w:rPr>
            </w:pPr>
            <w:r>
              <w:rPr>
                <w:rFonts w:ascii="Times New Roman" w:hAnsi="Times New Roman"/>
                <w:spacing w:val="-2"/>
              </w:rPr>
              <w:t>R</w:t>
            </w:r>
            <w:r w:rsidR="004C52AB" w:rsidRPr="008D423F">
              <w:rPr>
                <w:rFonts w:ascii="Times New Roman" w:hAnsi="Times New Roman"/>
                <w:spacing w:val="-2"/>
              </w:rPr>
              <w:t>ejestr cywilnych statków powietrznych</w:t>
            </w:r>
          </w:p>
        </w:tc>
        <w:tc>
          <w:tcPr>
            <w:tcW w:w="2981" w:type="dxa"/>
            <w:gridSpan w:val="6"/>
            <w:shd w:val="clear" w:color="auto" w:fill="auto"/>
          </w:tcPr>
          <w:p w:rsidR="00260F33" w:rsidRPr="00B37C80" w:rsidRDefault="004C52AB" w:rsidP="00F41B81">
            <w:pPr>
              <w:spacing w:line="240" w:lineRule="auto"/>
              <w:jc w:val="both"/>
              <w:rPr>
                <w:rFonts w:ascii="Times New Roman" w:hAnsi="Times New Roman"/>
                <w:color w:val="000000"/>
                <w:spacing w:val="-2"/>
              </w:rPr>
            </w:pPr>
            <w:r w:rsidRPr="008D423F">
              <w:rPr>
                <w:rFonts w:ascii="Times New Roman" w:hAnsi="Times New Roman"/>
              </w:rPr>
              <w:t>Ułatwienie – usunięcie dokumentu świadectwa zdatności do lotu z katalogu wymaganych dokumentów do  zgłoszenia do wpisu do rejestru cywilnych statków powietrznych</w:t>
            </w:r>
            <w:r w:rsidR="005F7C1E">
              <w:rPr>
                <w:rFonts w:ascii="Times New Roman" w:hAnsi="Times New Roman"/>
              </w:rPr>
              <w:t>.</w:t>
            </w:r>
          </w:p>
        </w:tc>
      </w:tr>
      <w:tr w:rsidR="004C52AB" w:rsidRPr="008B4FE6" w:rsidTr="00676C8D">
        <w:trPr>
          <w:gridAfter w:val="1"/>
          <w:wAfter w:w="10" w:type="dxa"/>
          <w:trHeight w:val="142"/>
        </w:trPr>
        <w:tc>
          <w:tcPr>
            <w:tcW w:w="2668" w:type="dxa"/>
            <w:gridSpan w:val="3"/>
            <w:shd w:val="clear" w:color="auto" w:fill="auto"/>
          </w:tcPr>
          <w:p w:rsidR="00713AC0" w:rsidRPr="008D423F" w:rsidRDefault="00713AC0" w:rsidP="00F41B81">
            <w:pPr>
              <w:pStyle w:val="Akapitzlist"/>
              <w:spacing w:line="240" w:lineRule="auto"/>
              <w:ind w:left="0"/>
              <w:jc w:val="both"/>
              <w:rPr>
                <w:rFonts w:ascii="Times New Roman" w:hAnsi="Times New Roman"/>
                <w:lang w:eastAsia="pl-PL"/>
              </w:rPr>
            </w:pPr>
            <w:r w:rsidRPr="008D423F">
              <w:rPr>
                <w:rFonts w:ascii="Times New Roman" w:hAnsi="Times New Roman"/>
                <w:lang w:eastAsia="pl-PL"/>
              </w:rPr>
              <w:t>Organizatorzy usług turystycznych</w:t>
            </w:r>
          </w:p>
          <w:p w:rsidR="004C52AB" w:rsidRPr="008D423F" w:rsidRDefault="004C52AB" w:rsidP="00F41B81">
            <w:pPr>
              <w:tabs>
                <w:tab w:val="left" w:pos="1560"/>
              </w:tabs>
              <w:spacing w:line="240" w:lineRule="auto"/>
              <w:jc w:val="both"/>
              <w:rPr>
                <w:rFonts w:ascii="Times New Roman" w:hAnsi="Times New Roman"/>
              </w:rPr>
            </w:pPr>
          </w:p>
        </w:tc>
        <w:tc>
          <w:tcPr>
            <w:tcW w:w="2292" w:type="dxa"/>
            <w:gridSpan w:val="8"/>
            <w:shd w:val="clear" w:color="auto" w:fill="auto"/>
          </w:tcPr>
          <w:p w:rsidR="004C52AB"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nie określa się (dane zmienne)</w:t>
            </w:r>
          </w:p>
        </w:tc>
        <w:tc>
          <w:tcPr>
            <w:tcW w:w="2996" w:type="dxa"/>
            <w:gridSpan w:val="12"/>
            <w:shd w:val="clear" w:color="auto" w:fill="auto"/>
          </w:tcPr>
          <w:p w:rsidR="004C52AB" w:rsidRPr="008D423F" w:rsidRDefault="004C52AB" w:rsidP="00F41B81">
            <w:pPr>
              <w:spacing w:line="240" w:lineRule="auto"/>
              <w:jc w:val="both"/>
              <w:rPr>
                <w:rFonts w:ascii="Times New Roman" w:hAnsi="Times New Roman"/>
                <w:spacing w:val="-2"/>
              </w:rPr>
            </w:pPr>
          </w:p>
        </w:tc>
        <w:tc>
          <w:tcPr>
            <w:tcW w:w="2981" w:type="dxa"/>
            <w:gridSpan w:val="6"/>
            <w:shd w:val="clear" w:color="auto" w:fill="auto"/>
          </w:tcPr>
          <w:p w:rsidR="004C52AB" w:rsidRPr="008D423F" w:rsidRDefault="00D70749" w:rsidP="00F41B81">
            <w:pPr>
              <w:spacing w:line="240" w:lineRule="auto"/>
              <w:jc w:val="both"/>
              <w:rPr>
                <w:rFonts w:ascii="Times New Roman" w:hAnsi="Times New Roman"/>
              </w:rPr>
            </w:pPr>
            <w:r>
              <w:rPr>
                <w:rFonts w:ascii="Times New Roman" w:hAnsi="Times New Roman"/>
                <w:lang w:eastAsia="pl-PL"/>
              </w:rPr>
              <w:t>P</w:t>
            </w:r>
            <w:r w:rsidR="00713AC0" w:rsidRPr="008D423F">
              <w:rPr>
                <w:rFonts w:ascii="Times New Roman" w:hAnsi="Times New Roman"/>
                <w:lang w:eastAsia="pl-PL"/>
              </w:rPr>
              <w:t xml:space="preserve">oddanie </w:t>
            </w:r>
            <w:r>
              <w:rPr>
                <w:rFonts w:ascii="Times New Roman" w:hAnsi="Times New Roman"/>
                <w:lang w:eastAsia="pl-PL"/>
              </w:rPr>
              <w:t xml:space="preserve">się </w:t>
            </w:r>
            <w:r w:rsidR="00713AC0" w:rsidRPr="008D423F">
              <w:rPr>
                <w:rFonts w:ascii="Times New Roman" w:hAnsi="Times New Roman"/>
                <w:lang w:eastAsia="pl-PL"/>
              </w:rPr>
              <w:t>nadzorowi ULC</w:t>
            </w:r>
            <w:r w:rsidR="005F7C1E">
              <w:rPr>
                <w:rFonts w:ascii="Times New Roman" w:hAnsi="Times New Roman"/>
                <w:lang w:eastAsia="pl-PL"/>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 xml:space="preserve">Organizacje </w:t>
            </w:r>
            <w:r w:rsidR="005F7C1E">
              <w:rPr>
                <w:rFonts w:ascii="Times New Roman" w:hAnsi="Times New Roman"/>
              </w:rPr>
              <w:t>s</w:t>
            </w:r>
            <w:r w:rsidRPr="008D423F">
              <w:rPr>
                <w:rFonts w:ascii="Times New Roman" w:hAnsi="Times New Roman"/>
              </w:rPr>
              <w:t xml:space="preserve">zkolenia </w:t>
            </w:r>
            <w:r w:rsidR="005F7C1E">
              <w:rPr>
                <w:rFonts w:ascii="Times New Roman" w:hAnsi="Times New Roman"/>
              </w:rPr>
              <w:t>l</w:t>
            </w:r>
            <w:r w:rsidRPr="008D423F">
              <w:rPr>
                <w:rFonts w:ascii="Times New Roman" w:hAnsi="Times New Roman"/>
              </w:rPr>
              <w:t>otniczego</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ok. 100</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R</w:t>
            </w:r>
            <w:r w:rsidR="00713AC0" w:rsidRPr="008D423F">
              <w:rPr>
                <w:rFonts w:ascii="Times New Roman" w:hAnsi="Times New Roman"/>
                <w:spacing w:val="-2"/>
              </w:rPr>
              <w:t xml:space="preserve">ejestr organizacji szkolenia lotniczego w Urzędzie Lotnictwa Cywilnego  </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rPr>
            </w:pPr>
            <w:r>
              <w:rPr>
                <w:rFonts w:ascii="Times New Roman" w:hAnsi="Times New Roman"/>
                <w:spacing w:val="-2"/>
              </w:rPr>
              <w:t>N</w:t>
            </w:r>
            <w:r w:rsidR="00713AC0" w:rsidRPr="008D423F">
              <w:rPr>
                <w:rFonts w:ascii="Times New Roman" w:hAnsi="Times New Roman"/>
                <w:spacing w:val="-2"/>
              </w:rPr>
              <w:t>ormatywne/bezpośrednie</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Licencjonowany personel lotniczy (posiadacze licencji Part-FCL) oraz ewentualnie  kandydaci do uzyskania licencji personelu lotniczego</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ok. 12 tys.</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R</w:t>
            </w:r>
            <w:r w:rsidR="00713AC0" w:rsidRPr="008D423F">
              <w:rPr>
                <w:rFonts w:ascii="Times New Roman" w:hAnsi="Times New Roman"/>
                <w:spacing w:val="-2"/>
              </w:rPr>
              <w:t xml:space="preserve">ejestr personelu lotniczego </w:t>
            </w:r>
            <w:r w:rsidR="006F5130" w:rsidRPr="008D423F">
              <w:rPr>
                <w:rFonts w:ascii="Times New Roman" w:hAnsi="Times New Roman"/>
                <w:spacing w:val="-2"/>
              </w:rPr>
              <w:t>Urzędu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rPr>
            </w:pPr>
            <w:r>
              <w:rPr>
                <w:rFonts w:ascii="Times New Roman" w:hAnsi="Times New Roman"/>
                <w:spacing w:val="-2"/>
              </w:rPr>
              <w:t>N</w:t>
            </w:r>
            <w:r w:rsidRPr="008D423F">
              <w:rPr>
                <w:rFonts w:ascii="Times New Roman" w:hAnsi="Times New Roman"/>
                <w:spacing w:val="-2"/>
              </w:rPr>
              <w:t>ormatywne/bezpośrednie</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lastRenderedPageBreak/>
              <w:t>Centra Medycyny Lotniczej oraz lekarze orzecznicy</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ok. 50</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R</w:t>
            </w:r>
            <w:r w:rsidR="00713AC0" w:rsidRPr="008D423F">
              <w:rPr>
                <w:rFonts w:ascii="Times New Roman" w:hAnsi="Times New Roman"/>
                <w:spacing w:val="-2"/>
              </w:rPr>
              <w:t xml:space="preserve">ejestr Naczelnego Lekarza Lotnictwa Cywilnego w </w:t>
            </w:r>
            <w:r w:rsidR="006F5130">
              <w:rPr>
                <w:rFonts w:ascii="Times New Roman" w:hAnsi="Times New Roman"/>
                <w:spacing w:val="-2"/>
              </w:rPr>
              <w:t>Urzędzie</w:t>
            </w:r>
            <w:r w:rsidR="006F5130" w:rsidRPr="008D423F">
              <w:rPr>
                <w:rFonts w:ascii="Times New Roman" w:hAnsi="Times New Roman"/>
                <w:spacing w:val="-2"/>
              </w:rPr>
              <w:t xml:space="preserve">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N</w:t>
            </w:r>
            <w:r w:rsidRPr="008D423F">
              <w:rPr>
                <w:rFonts w:ascii="Times New Roman" w:hAnsi="Times New Roman"/>
                <w:spacing w:val="-2"/>
              </w:rPr>
              <w:t>ormatywne/bezpośrednie</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Operatorzy szkoleniowych urządzeń symulacji lotu (FSTD)</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ok. 15</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R</w:t>
            </w:r>
            <w:r w:rsidR="00713AC0" w:rsidRPr="008D423F">
              <w:rPr>
                <w:rFonts w:ascii="Times New Roman" w:hAnsi="Times New Roman"/>
                <w:spacing w:val="-2"/>
              </w:rPr>
              <w:t xml:space="preserve">ejestr FSTD w </w:t>
            </w:r>
            <w:r w:rsidR="006F5130">
              <w:rPr>
                <w:rFonts w:ascii="Times New Roman" w:hAnsi="Times New Roman"/>
                <w:spacing w:val="-2"/>
              </w:rPr>
              <w:t>Urzędzie</w:t>
            </w:r>
            <w:r w:rsidR="006F5130" w:rsidRPr="008D423F">
              <w:rPr>
                <w:rFonts w:ascii="Times New Roman" w:hAnsi="Times New Roman"/>
                <w:spacing w:val="-2"/>
              </w:rPr>
              <w:t xml:space="preserve">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N</w:t>
            </w:r>
            <w:r w:rsidRPr="008D423F">
              <w:rPr>
                <w:rFonts w:ascii="Times New Roman" w:hAnsi="Times New Roman"/>
                <w:spacing w:val="-2"/>
              </w:rPr>
              <w:t>ormatywne/bezpośrednie</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713AC0" w:rsidRDefault="00713AC0" w:rsidP="00F41B81">
            <w:pPr>
              <w:spacing w:line="240" w:lineRule="auto"/>
              <w:jc w:val="both"/>
              <w:rPr>
                <w:rFonts w:ascii="Times New Roman" w:hAnsi="Times New Roman"/>
              </w:rPr>
            </w:pPr>
            <w:r w:rsidRPr="00713AC0">
              <w:rPr>
                <w:rFonts w:ascii="Times New Roman" w:hAnsi="Times New Roman"/>
              </w:rPr>
              <w:t xml:space="preserve">Zarządzający lotniskami </w:t>
            </w:r>
          </w:p>
          <w:p w:rsidR="00713AC0" w:rsidRPr="00713AC0" w:rsidRDefault="00713AC0" w:rsidP="00F41B81">
            <w:pPr>
              <w:tabs>
                <w:tab w:val="left" w:pos="1560"/>
              </w:tabs>
              <w:spacing w:line="240" w:lineRule="auto"/>
              <w:jc w:val="both"/>
              <w:rPr>
                <w:rFonts w:ascii="Times New Roman" w:hAnsi="Times New Roman"/>
              </w:rPr>
            </w:pPr>
          </w:p>
        </w:tc>
        <w:tc>
          <w:tcPr>
            <w:tcW w:w="2292" w:type="dxa"/>
            <w:gridSpan w:val="8"/>
            <w:shd w:val="clear" w:color="auto" w:fill="auto"/>
          </w:tcPr>
          <w:p w:rsidR="00713AC0" w:rsidRPr="00713AC0" w:rsidRDefault="00713AC0" w:rsidP="00F41B81">
            <w:pPr>
              <w:spacing w:line="240" w:lineRule="auto"/>
              <w:jc w:val="both"/>
              <w:rPr>
                <w:rFonts w:ascii="Times New Roman" w:hAnsi="Times New Roman"/>
                <w:spacing w:val="-2"/>
              </w:rPr>
            </w:pPr>
            <w:r w:rsidRPr="00713AC0">
              <w:rPr>
                <w:rFonts w:ascii="Times New Roman" w:hAnsi="Times New Roman"/>
                <w:spacing w:val="-2"/>
              </w:rPr>
              <w:t>57 (w tym 13 lotnisk użytku publicznego podlegających rozporządzeniu 139/2014)</w:t>
            </w:r>
          </w:p>
        </w:tc>
        <w:tc>
          <w:tcPr>
            <w:tcW w:w="2996" w:type="dxa"/>
            <w:gridSpan w:val="12"/>
            <w:shd w:val="clear" w:color="auto" w:fill="auto"/>
          </w:tcPr>
          <w:p w:rsidR="00713AC0" w:rsidRPr="00713AC0" w:rsidRDefault="00D70749" w:rsidP="00F41B81">
            <w:pPr>
              <w:spacing w:line="240" w:lineRule="auto"/>
              <w:jc w:val="both"/>
              <w:rPr>
                <w:rFonts w:ascii="Times New Roman" w:hAnsi="Times New Roman"/>
                <w:spacing w:val="-2"/>
              </w:rPr>
            </w:pPr>
            <w:r>
              <w:rPr>
                <w:rFonts w:ascii="Times New Roman" w:hAnsi="Times New Roman"/>
                <w:spacing w:val="-2"/>
              </w:rPr>
              <w:t>R</w:t>
            </w:r>
            <w:r w:rsidR="004838F1">
              <w:rPr>
                <w:rFonts w:ascii="Times New Roman" w:hAnsi="Times New Roman"/>
                <w:spacing w:val="-2"/>
              </w:rPr>
              <w:t>e</w:t>
            </w:r>
            <w:r w:rsidR="001C5924">
              <w:rPr>
                <w:rFonts w:ascii="Times New Roman" w:hAnsi="Times New Roman"/>
                <w:spacing w:val="-2"/>
              </w:rPr>
              <w:t>j</w:t>
            </w:r>
            <w:r w:rsidR="00713AC0" w:rsidRPr="00713AC0">
              <w:rPr>
                <w:rFonts w:ascii="Times New Roman" w:hAnsi="Times New Roman"/>
                <w:spacing w:val="-2"/>
              </w:rPr>
              <w:t>estr lotnisk cywilnych</w:t>
            </w:r>
          </w:p>
          <w:p w:rsidR="00713AC0" w:rsidRPr="00713AC0" w:rsidRDefault="00713AC0" w:rsidP="00F41B81">
            <w:pPr>
              <w:spacing w:line="240" w:lineRule="auto"/>
              <w:jc w:val="both"/>
              <w:rPr>
                <w:rFonts w:ascii="Times New Roman" w:hAnsi="Times New Roman"/>
                <w:spacing w:val="-2"/>
              </w:rPr>
            </w:pPr>
            <w:r w:rsidRPr="00713AC0">
              <w:rPr>
                <w:rFonts w:ascii="Times New Roman" w:hAnsi="Times New Roman"/>
                <w:spacing w:val="-2"/>
              </w:rPr>
              <w:t xml:space="preserve">(prowadzony przez </w:t>
            </w:r>
            <w:r w:rsidR="006F5130" w:rsidRPr="008D423F">
              <w:rPr>
                <w:rFonts w:ascii="Times New Roman" w:hAnsi="Times New Roman"/>
                <w:spacing w:val="-2"/>
              </w:rPr>
              <w:t>Urzędu Lotnictwa Cywilnego</w:t>
            </w:r>
            <w:r w:rsidRPr="00713AC0">
              <w:rPr>
                <w:rFonts w:ascii="Times New Roman" w:hAnsi="Times New Roman"/>
                <w:spacing w:val="-2"/>
              </w:rPr>
              <w:t>)</w:t>
            </w:r>
          </w:p>
        </w:tc>
        <w:tc>
          <w:tcPr>
            <w:tcW w:w="2981" w:type="dxa"/>
            <w:gridSpan w:val="6"/>
            <w:shd w:val="clear" w:color="auto" w:fill="auto"/>
          </w:tcPr>
          <w:p w:rsidR="00713AC0" w:rsidRPr="00713AC0"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713AC0">
              <w:rPr>
                <w:rFonts w:ascii="Times New Roman" w:hAnsi="Times New Roman"/>
                <w:spacing w:val="-2"/>
              </w:rPr>
              <w:t>łatwienie w postaci jasnych przepisów regulujących m.in.</w:t>
            </w:r>
            <w:r w:rsidR="001C5924">
              <w:rPr>
                <w:rFonts w:ascii="Times New Roman" w:hAnsi="Times New Roman"/>
                <w:spacing w:val="-2"/>
              </w:rPr>
              <w:t xml:space="preserve"> </w:t>
            </w:r>
            <w:r w:rsidR="00713AC0" w:rsidRPr="00713AC0">
              <w:rPr>
                <w:rFonts w:ascii="Times New Roman" w:hAnsi="Times New Roman"/>
                <w:spacing w:val="-2"/>
              </w:rPr>
              <w:t>kwestie wprowadzenia koordynacji na czas oznaczony</w:t>
            </w:r>
            <w:r w:rsidR="001C5924">
              <w:rPr>
                <w:rFonts w:ascii="Times New Roman" w:hAnsi="Times New Roman"/>
                <w:spacing w:val="-2"/>
              </w:rPr>
              <w:t xml:space="preserve"> dla lotnisk użytku publicznego</w:t>
            </w:r>
            <w:r w:rsidR="00713AC0" w:rsidRPr="00713AC0">
              <w:rPr>
                <w:rFonts w:ascii="Times New Roman" w:hAnsi="Times New Roman"/>
                <w:spacing w:val="-2"/>
              </w:rPr>
              <w:t xml:space="preserve">; </w:t>
            </w:r>
            <w:r w:rsidR="00F551EF">
              <w:rPr>
                <w:rFonts w:ascii="Times New Roman" w:hAnsi="Times New Roman"/>
                <w:spacing w:val="-2"/>
              </w:rPr>
              <w:t>U</w:t>
            </w:r>
            <w:r w:rsidR="00713AC0" w:rsidRPr="00713AC0">
              <w:rPr>
                <w:rFonts w:ascii="Times New Roman" w:hAnsi="Times New Roman"/>
                <w:spacing w:val="-2"/>
              </w:rPr>
              <w:t>łatwienie w postaci możliwości finansowania zapewnianych na lotnisku służb żeglugi powietrznej.</w:t>
            </w:r>
          </w:p>
          <w:p w:rsidR="00713AC0" w:rsidRPr="00713AC0" w:rsidRDefault="00713AC0" w:rsidP="00F41B81">
            <w:pPr>
              <w:spacing w:line="240" w:lineRule="auto"/>
              <w:jc w:val="both"/>
              <w:rPr>
                <w:rFonts w:ascii="Times New Roman" w:hAnsi="Times New Roman"/>
                <w:spacing w:val="-2"/>
              </w:rPr>
            </w:pPr>
            <w:r w:rsidRPr="00713AC0">
              <w:rPr>
                <w:rFonts w:ascii="Times New Roman" w:hAnsi="Times New Roman"/>
                <w:spacing w:val="-2"/>
              </w:rPr>
              <w:t>Ułatwienie w postaci jednolitych przepisów dotyczących wymagań w zakresie uzyskaniu certyfikatu lotniska użytku publicznego połączone z elastycznym zastosowaniem tych wymagań.</w:t>
            </w:r>
          </w:p>
          <w:p w:rsidR="00713AC0" w:rsidRPr="00713AC0" w:rsidRDefault="00713AC0" w:rsidP="00540B19">
            <w:pPr>
              <w:spacing w:line="240" w:lineRule="auto"/>
              <w:jc w:val="both"/>
              <w:rPr>
                <w:rFonts w:ascii="Times New Roman" w:hAnsi="Times New Roman"/>
                <w:spacing w:val="-2"/>
              </w:rPr>
            </w:pPr>
            <w:r w:rsidRPr="00713AC0">
              <w:rPr>
                <w:rFonts w:ascii="Times New Roman" w:hAnsi="Times New Roman"/>
                <w:spacing w:val="-2"/>
              </w:rPr>
              <w:t>Dookreślenie i wprowadzenie zadań związanych z: prowadzeniem konsultacji w zakresie ochrony otoczenia lotniska przed zagroż</w:t>
            </w:r>
            <w:r w:rsidR="005F7C1E">
              <w:rPr>
                <w:rFonts w:ascii="Times New Roman" w:hAnsi="Times New Roman"/>
                <w:spacing w:val="-2"/>
              </w:rPr>
              <w:t>eniami dla statków powietrznych</w:t>
            </w:r>
            <w:r w:rsidR="00540B19">
              <w:rPr>
                <w:rFonts w:ascii="Times New Roman" w:hAnsi="Times New Roman"/>
                <w:spacing w:val="-2"/>
              </w:rPr>
              <w:t>,</w:t>
            </w:r>
            <w:r w:rsidRPr="00713AC0">
              <w:rPr>
                <w:rFonts w:ascii="Times New Roman" w:hAnsi="Times New Roman"/>
                <w:spacing w:val="-2"/>
              </w:rPr>
              <w:t xml:space="preserve"> </w:t>
            </w:r>
            <w:r w:rsidR="00540B19">
              <w:rPr>
                <w:rFonts w:ascii="Times New Roman" w:hAnsi="Times New Roman"/>
                <w:spacing w:val="-2"/>
              </w:rPr>
              <w:t>u</w:t>
            </w:r>
            <w:r w:rsidR="005F7C1E">
              <w:rPr>
                <w:rFonts w:ascii="Times New Roman" w:hAnsi="Times New Roman"/>
                <w:spacing w:val="-2"/>
              </w:rPr>
              <w:t>stalenie</w:t>
            </w:r>
            <w:r w:rsidRPr="00713AC0">
              <w:rPr>
                <w:rFonts w:ascii="Times New Roman" w:hAnsi="Times New Roman"/>
                <w:spacing w:val="-2"/>
              </w:rPr>
              <w:t xml:space="preserve"> opłat lotniskowych związanych z usuwaniem drzew i krzewów oraz odszkodowań z tym związanych; monitorowania i zgłaszania obecności przeszkód lotniczych wznoszonych na terenie znajdującym się w granicach powierzchni ograniczających przeszkody; </w:t>
            </w:r>
            <w:r w:rsidR="005F7C1E">
              <w:rPr>
                <w:rFonts w:ascii="Times New Roman" w:hAnsi="Times New Roman"/>
                <w:spacing w:val="-2"/>
              </w:rPr>
              <w:t>Uczestnictwo</w:t>
            </w:r>
            <w:r w:rsidRPr="00713AC0">
              <w:rPr>
                <w:rFonts w:ascii="Times New Roman" w:hAnsi="Times New Roman"/>
                <w:spacing w:val="-2"/>
              </w:rPr>
              <w:t xml:space="preserve"> w kształtowaniu polityki przestrzennej gmin dla terenów</w:t>
            </w:r>
            <w:r w:rsidR="00540B19">
              <w:rPr>
                <w:rFonts w:ascii="Times New Roman" w:hAnsi="Times New Roman"/>
                <w:spacing w:val="-2"/>
              </w:rPr>
              <w:t>,</w:t>
            </w:r>
            <w:r w:rsidRPr="00713AC0">
              <w:rPr>
                <w:rFonts w:ascii="Times New Roman" w:hAnsi="Times New Roman"/>
                <w:spacing w:val="-2"/>
              </w:rPr>
              <w:t xml:space="preserve"> na których znajduje się lotnisko oraz wyznaczone są powierzchnie ograniczające przeszkody, wydawanie odstępstw od wymogów dotyczących powierzchni ograniczających przeszkody dla obiektów stałych o charakterze czasowym lub ruchomych; obowiązku usunięcia obiektu, który stał się  przeszkodą lotniczą w wyniku budowy lub rozbudowy lotniska</w:t>
            </w:r>
            <w:r w:rsidR="005F7C1E">
              <w:rPr>
                <w:rFonts w:ascii="Times New Roman" w:hAnsi="Times New Roman"/>
                <w:spacing w:val="-2"/>
              </w:rPr>
              <w:t>.</w:t>
            </w:r>
            <w:r w:rsidRPr="00713AC0">
              <w:rPr>
                <w:rFonts w:ascii="Times New Roman" w:hAnsi="Times New Roman"/>
                <w:spacing w:val="-2"/>
              </w:rPr>
              <w:t xml:space="preserve">  </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Koordynator rozkładów lotów</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1</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00713AC0" w:rsidRPr="008D423F">
              <w:rPr>
                <w:rFonts w:ascii="Times New Roman" w:hAnsi="Times New Roman"/>
                <w:spacing w:val="-2"/>
              </w:rPr>
              <w:t>ane własne Urzędu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8D423F">
              <w:rPr>
                <w:rFonts w:ascii="Times New Roman" w:hAnsi="Times New Roman"/>
                <w:spacing w:val="-2"/>
              </w:rPr>
              <w:t>łatwienie poprzez brak konieczności zbierania opłat za czas operacji, ułatwienie poprzez uregulowanie kwestii odpowiedzialności za szkodę z winy nieumyślnej</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 xml:space="preserve">Zarządzający koordynowanym </w:t>
            </w:r>
            <w:r w:rsidRPr="008D423F">
              <w:rPr>
                <w:rFonts w:ascii="Times New Roman" w:hAnsi="Times New Roman"/>
              </w:rPr>
              <w:lastRenderedPageBreak/>
              <w:t>lotniskiem użytku publicznego</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lastRenderedPageBreak/>
              <w:t>2</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Pr="008D423F">
              <w:rPr>
                <w:rFonts w:ascii="Times New Roman" w:hAnsi="Times New Roman"/>
                <w:spacing w:val="-2"/>
              </w:rPr>
              <w:t>ane własne Urzędu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8D423F">
              <w:rPr>
                <w:rFonts w:ascii="Times New Roman" w:hAnsi="Times New Roman"/>
                <w:spacing w:val="-2"/>
              </w:rPr>
              <w:t xml:space="preserve">trudnienie w postaci konieczności zbierania opłat za </w:t>
            </w:r>
            <w:r w:rsidR="00713AC0" w:rsidRPr="008D423F">
              <w:rPr>
                <w:rFonts w:ascii="Times New Roman" w:hAnsi="Times New Roman"/>
                <w:spacing w:val="-2"/>
              </w:rPr>
              <w:lastRenderedPageBreak/>
              <w:t>koordynację w imieniu koordynatora, utrudnienie nieznacznego stopnia z uwagi na fakt zbierania danych wraz z opłatami lotniskowymi; korzyści wynikające z lepszej skuteczności systemu koordynacji rozkładów lotów</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lastRenderedPageBreak/>
              <w:t>Przewoźnik lotniczy i operatorzy lotnictwa ogólnego</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250</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Pr="008D423F">
              <w:rPr>
                <w:rFonts w:ascii="Times New Roman" w:hAnsi="Times New Roman"/>
                <w:spacing w:val="-2"/>
              </w:rPr>
              <w:t>ane własne Urzędu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8D423F">
              <w:rPr>
                <w:rFonts w:ascii="Times New Roman" w:hAnsi="Times New Roman"/>
                <w:spacing w:val="-2"/>
              </w:rPr>
              <w:t>łatwienia w postaci bardziej transparentnego i sprawiedliwego sposobu pobierania opłaty za czas operacji</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Komputerowe systemy rezerwacyjne</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3</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Pr="008D423F">
              <w:rPr>
                <w:rFonts w:ascii="Times New Roman" w:hAnsi="Times New Roman"/>
                <w:spacing w:val="-2"/>
              </w:rPr>
              <w:t>ane własne Urzędu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8D423F">
              <w:rPr>
                <w:rFonts w:ascii="Times New Roman" w:hAnsi="Times New Roman"/>
                <w:spacing w:val="-2"/>
              </w:rPr>
              <w:t>łatwienia w postaci przejrzystości stosowania przepisów</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Instytucje zapewniające służby żeglugi powietrznej</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5 certyfikowanych w Polsce ANSP</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Pr="008D423F">
              <w:rPr>
                <w:rFonts w:ascii="Times New Roman" w:hAnsi="Times New Roman"/>
                <w:spacing w:val="-2"/>
              </w:rPr>
              <w:t>ane własne Urzędu Lotnictwa Cywilnego</w:t>
            </w:r>
          </w:p>
        </w:tc>
        <w:tc>
          <w:tcPr>
            <w:tcW w:w="2981" w:type="dxa"/>
            <w:gridSpan w:val="6"/>
            <w:shd w:val="clear" w:color="auto" w:fill="auto"/>
          </w:tcPr>
          <w:p w:rsidR="00713AC0"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8D423F">
              <w:rPr>
                <w:rFonts w:ascii="Times New Roman" w:hAnsi="Times New Roman"/>
                <w:spacing w:val="-2"/>
              </w:rPr>
              <w:t>łatwienie (alternatywne mechanizmy finansowania służb zapewnianych  dla mniejszych lotnisk)</w:t>
            </w:r>
            <w:r w:rsidR="005F7C1E">
              <w:rPr>
                <w:rFonts w:ascii="Times New Roman" w:hAnsi="Times New Roman"/>
                <w:spacing w:val="-2"/>
              </w:rPr>
              <w:t>.</w:t>
            </w:r>
          </w:p>
          <w:p w:rsidR="00B0652A" w:rsidRPr="008D423F" w:rsidRDefault="00B0652A" w:rsidP="00F41B81">
            <w:pPr>
              <w:spacing w:line="240" w:lineRule="auto"/>
              <w:jc w:val="both"/>
              <w:rPr>
                <w:rFonts w:ascii="Times New Roman" w:hAnsi="Times New Roman"/>
                <w:spacing w:val="-2"/>
              </w:rPr>
            </w:pPr>
            <w:r w:rsidRPr="00B0652A">
              <w:rPr>
                <w:rFonts w:ascii="Times New Roman" w:hAnsi="Times New Roman"/>
                <w:spacing w:val="-2"/>
              </w:rPr>
              <w:t>Uczestnictwo w kształtowaniu polityki przestrzennej gmin dla terenów, na których znajduje się lotnicze urządzenie naziemne oraz wyznaczono dla nich powierzchnie ograniczające zabudowę (wyznaczenie ww. powierzchni).</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Prezes Urzędu Lotnictwa Cywilnego</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1</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Pr="008D423F">
              <w:rPr>
                <w:rFonts w:ascii="Times New Roman" w:hAnsi="Times New Roman"/>
                <w:spacing w:val="-2"/>
              </w:rPr>
              <w:t>ane własne Urzędu Lotnictwa Cywilnego</w:t>
            </w: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S</w:t>
            </w:r>
            <w:r w:rsidR="00713AC0" w:rsidRPr="008D423F">
              <w:rPr>
                <w:rFonts w:ascii="Times New Roman" w:hAnsi="Times New Roman"/>
                <w:spacing w:val="-2"/>
              </w:rPr>
              <w:t>kutki zarówno o charakterze negatywnym (większe obciążenie pracą) jak i pozytywnym (większa k</w:t>
            </w:r>
            <w:r w:rsidR="005F7C1E">
              <w:rPr>
                <w:rFonts w:ascii="Times New Roman" w:hAnsi="Times New Roman"/>
                <w:spacing w:val="-2"/>
              </w:rPr>
              <w:t>ontrola podmiotów nadzorowanych).</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spacing w:line="240" w:lineRule="auto"/>
              <w:jc w:val="both"/>
              <w:rPr>
                <w:rFonts w:ascii="Times New Roman" w:hAnsi="Times New Roman"/>
              </w:rPr>
            </w:pPr>
            <w:r w:rsidRPr="008D423F">
              <w:rPr>
                <w:rFonts w:ascii="Times New Roman" w:hAnsi="Times New Roman"/>
              </w:rPr>
              <w:t>Minister właściwy do spraw transportu</w:t>
            </w:r>
          </w:p>
          <w:p w:rsidR="00713AC0" w:rsidRPr="008D423F" w:rsidRDefault="00713AC0" w:rsidP="00F41B81">
            <w:pPr>
              <w:tabs>
                <w:tab w:val="left" w:pos="1560"/>
              </w:tabs>
              <w:spacing w:line="240" w:lineRule="auto"/>
              <w:jc w:val="both"/>
              <w:rPr>
                <w:rFonts w:ascii="Times New Roman" w:hAnsi="Times New Roman"/>
              </w:rPr>
            </w:pP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p>
        </w:tc>
        <w:tc>
          <w:tcPr>
            <w:tcW w:w="2996" w:type="dxa"/>
            <w:gridSpan w:val="12"/>
            <w:shd w:val="clear" w:color="auto" w:fill="auto"/>
          </w:tcPr>
          <w:p w:rsidR="00713AC0" w:rsidRPr="008D423F" w:rsidRDefault="00713AC0" w:rsidP="00F41B81">
            <w:pPr>
              <w:spacing w:line="240" w:lineRule="auto"/>
              <w:jc w:val="both"/>
              <w:rPr>
                <w:rFonts w:ascii="Times New Roman" w:hAnsi="Times New Roman"/>
                <w:spacing w:val="-2"/>
              </w:rPr>
            </w:pPr>
          </w:p>
        </w:tc>
        <w:tc>
          <w:tcPr>
            <w:tcW w:w="2981" w:type="dxa"/>
            <w:gridSpan w:val="6"/>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S</w:t>
            </w:r>
            <w:r w:rsidR="00713AC0" w:rsidRPr="008D423F">
              <w:rPr>
                <w:rFonts w:ascii="Times New Roman" w:hAnsi="Times New Roman"/>
                <w:spacing w:val="-2"/>
              </w:rPr>
              <w:t xml:space="preserve">kutki zarówno o charakterze negatywnym (większe obciążenie pracą w związku z przejęciem zadania w postaci ustalania stref pobierania opłat terminalowych) jak i pozytywnym (większa kontrola podmiotów nadzorowanych) oraz nowe zadanie w postaci podejmowania decyzji, o której mowa w art. 1 ust. 5 rozporządzenia wykonawczego Komisji (UE) nr 391/2013 oraz </w:t>
            </w:r>
            <w:r>
              <w:rPr>
                <w:rFonts w:ascii="Times New Roman" w:hAnsi="Times New Roman"/>
                <w:spacing w:val="-2"/>
              </w:rPr>
              <w:t>I</w:t>
            </w:r>
            <w:r w:rsidR="00713AC0" w:rsidRPr="008D423F">
              <w:rPr>
                <w:rFonts w:ascii="Times New Roman" w:hAnsi="Times New Roman"/>
                <w:spacing w:val="-2"/>
              </w:rPr>
              <w:t>nformowania Komisji Europejskiej o podjęciu takiej decyzji.</w:t>
            </w:r>
          </w:p>
        </w:tc>
      </w:tr>
      <w:tr w:rsidR="00713AC0" w:rsidRPr="008B4FE6" w:rsidTr="00676C8D">
        <w:trPr>
          <w:gridAfter w:val="1"/>
          <w:wAfter w:w="10" w:type="dxa"/>
          <w:trHeight w:val="142"/>
        </w:trPr>
        <w:tc>
          <w:tcPr>
            <w:tcW w:w="2668" w:type="dxa"/>
            <w:gridSpan w:val="3"/>
            <w:shd w:val="clear" w:color="auto" w:fill="auto"/>
          </w:tcPr>
          <w:p w:rsidR="00713AC0" w:rsidRPr="008D423F" w:rsidRDefault="00713AC0" w:rsidP="00F41B81">
            <w:pPr>
              <w:tabs>
                <w:tab w:val="left" w:pos="1560"/>
              </w:tabs>
              <w:spacing w:line="240" w:lineRule="auto"/>
              <w:jc w:val="both"/>
              <w:rPr>
                <w:rFonts w:ascii="Times New Roman" w:hAnsi="Times New Roman"/>
              </w:rPr>
            </w:pPr>
            <w:r w:rsidRPr="008D423F">
              <w:rPr>
                <w:rFonts w:ascii="Times New Roman" w:hAnsi="Times New Roman"/>
              </w:rPr>
              <w:t>Komendant Główny Straży Granicznej</w:t>
            </w:r>
          </w:p>
        </w:tc>
        <w:tc>
          <w:tcPr>
            <w:tcW w:w="2292" w:type="dxa"/>
            <w:gridSpan w:val="8"/>
            <w:shd w:val="clear" w:color="auto" w:fill="auto"/>
          </w:tcPr>
          <w:p w:rsidR="00713AC0" w:rsidRPr="008D423F" w:rsidRDefault="00713AC0" w:rsidP="00F41B81">
            <w:pPr>
              <w:spacing w:line="240" w:lineRule="auto"/>
              <w:jc w:val="both"/>
              <w:rPr>
                <w:rFonts w:ascii="Times New Roman" w:hAnsi="Times New Roman"/>
                <w:spacing w:val="-2"/>
              </w:rPr>
            </w:pP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U</w:t>
            </w:r>
            <w:r w:rsidR="00713AC0" w:rsidRPr="008D423F">
              <w:rPr>
                <w:rFonts w:ascii="Times New Roman" w:hAnsi="Times New Roman"/>
                <w:spacing w:val="-2"/>
              </w:rPr>
              <w:t>stawa z dnia 12.10.1990 r. o Straży Granicznej (Dz .U. z 2011 r. Nr 116, poz. 675, z późn. zm.)</w:t>
            </w:r>
          </w:p>
        </w:tc>
        <w:tc>
          <w:tcPr>
            <w:tcW w:w="2981" w:type="dxa"/>
            <w:gridSpan w:val="6"/>
            <w:shd w:val="clear" w:color="auto" w:fill="auto"/>
          </w:tcPr>
          <w:p w:rsidR="00713AC0" w:rsidRPr="008D423F" w:rsidRDefault="00713AC0" w:rsidP="00F41B81">
            <w:pPr>
              <w:spacing w:line="240" w:lineRule="auto"/>
              <w:jc w:val="both"/>
              <w:rPr>
                <w:rFonts w:ascii="Times New Roman" w:hAnsi="Times New Roman"/>
                <w:spacing w:val="-2"/>
              </w:rPr>
            </w:pPr>
            <w:r w:rsidRPr="008D423F">
              <w:rPr>
                <w:rFonts w:ascii="Times New Roman" w:hAnsi="Times New Roman"/>
                <w:spacing w:val="-2"/>
              </w:rPr>
              <w:t>Na pracowników (funkcjonariuszy) Komendy Głównej Straży Granicznej, realizujących zadania zlecone przez Komendanta Głównego SG.</w:t>
            </w:r>
          </w:p>
        </w:tc>
      </w:tr>
      <w:tr w:rsidR="00713AC0" w:rsidRPr="008B4FE6" w:rsidTr="00676C8D">
        <w:trPr>
          <w:gridAfter w:val="1"/>
          <w:wAfter w:w="10" w:type="dxa"/>
          <w:trHeight w:val="142"/>
        </w:trPr>
        <w:tc>
          <w:tcPr>
            <w:tcW w:w="2668" w:type="dxa"/>
            <w:gridSpan w:val="3"/>
            <w:shd w:val="clear" w:color="auto" w:fill="auto"/>
          </w:tcPr>
          <w:p w:rsidR="00713AC0" w:rsidRPr="008D423F" w:rsidRDefault="00AF5A2C" w:rsidP="00F41B81">
            <w:pPr>
              <w:tabs>
                <w:tab w:val="left" w:pos="1560"/>
              </w:tabs>
              <w:spacing w:line="240" w:lineRule="auto"/>
              <w:jc w:val="both"/>
              <w:rPr>
                <w:rFonts w:ascii="Times New Roman" w:hAnsi="Times New Roman"/>
              </w:rPr>
            </w:pPr>
            <w:r w:rsidRPr="008D423F">
              <w:rPr>
                <w:rFonts w:ascii="Times New Roman" w:hAnsi="Times New Roman"/>
              </w:rPr>
              <w:t>Audytorzy krajowi  kontroli jakości w zakresie ochrony lotnictwa cywilnego</w:t>
            </w:r>
          </w:p>
        </w:tc>
        <w:tc>
          <w:tcPr>
            <w:tcW w:w="2292" w:type="dxa"/>
            <w:gridSpan w:val="8"/>
            <w:shd w:val="clear" w:color="auto" w:fill="auto"/>
          </w:tcPr>
          <w:p w:rsidR="00713AC0" w:rsidRPr="008D423F" w:rsidRDefault="00AF5A2C" w:rsidP="00F41B81">
            <w:pPr>
              <w:spacing w:line="240" w:lineRule="auto"/>
              <w:jc w:val="both"/>
              <w:rPr>
                <w:rFonts w:ascii="Times New Roman" w:hAnsi="Times New Roman"/>
                <w:spacing w:val="-2"/>
              </w:rPr>
            </w:pPr>
            <w:r w:rsidRPr="008D423F">
              <w:rPr>
                <w:rFonts w:ascii="Times New Roman" w:hAnsi="Times New Roman"/>
                <w:spacing w:val="-2"/>
              </w:rPr>
              <w:t>42</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00AF5A2C" w:rsidRPr="008D423F">
              <w:rPr>
                <w:rFonts w:ascii="Times New Roman" w:hAnsi="Times New Roman"/>
                <w:spacing w:val="-2"/>
              </w:rPr>
              <w:t xml:space="preserve">ane własne </w:t>
            </w:r>
            <w:r w:rsidR="006F5130" w:rsidRPr="008D423F">
              <w:rPr>
                <w:rFonts w:ascii="Times New Roman" w:hAnsi="Times New Roman"/>
                <w:spacing w:val="-2"/>
              </w:rPr>
              <w:t>Urzędu Lotnictwa Cywilnego</w:t>
            </w:r>
          </w:p>
        </w:tc>
        <w:tc>
          <w:tcPr>
            <w:tcW w:w="2981" w:type="dxa"/>
            <w:gridSpan w:val="6"/>
            <w:shd w:val="clear" w:color="auto" w:fill="auto"/>
          </w:tcPr>
          <w:p w:rsidR="00713AC0" w:rsidRPr="008D423F" w:rsidRDefault="00AF5A2C" w:rsidP="00F41B81">
            <w:pPr>
              <w:spacing w:line="240" w:lineRule="auto"/>
              <w:jc w:val="both"/>
              <w:rPr>
                <w:rFonts w:ascii="Times New Roman" w:hAnsi="Times New Roman"/>
                <w:spacing w:val="-2"/>
              </w:rPr>
            </w:pPr>
            <w:r w:rsidRPr="008D423F">
              <w:rPr>
                <w:rFonts w:ascii="Times New Roman" w:hAnsi="Times New Roman"/>
                <w:spacing w:val="-2"/>
              </w:rPr>
              <w:t>Przeniesienie wymogów dotyczących kwalifikacji i trybu certyfikacji do aktu wykonawczego</w:t>
            </w:r>
            <w:r w:rsidR="005F7C1E">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AF5A2C" w:rsidP="00F41B81">
            <w:pPr>
              <w:tabs>
                <w:tab w:val="left" w:pos="1560"/>
              </w:tabs>
              <w:spacing w:line="240" w:lineRule="auto"/>
              <w:jc w:val="both"/>
              <w:rPr>
                <w:rFonts w:ascii="Times New Roman" w:hAnsi="Times New Roman"/>
              </w:rPr>
            </w:pPr>
            <w:r w:rsidRPr="008D423F">
              <w:rPr>
                <w:rFonts w:ascii="Times New Roman" w:hAnsi="Times New Roman"/>
              </w:rPr>
              <w:t xml:space="preserve">Podmioty ubiegające się o </w:t>
            </w:r>
            <w:r w:rsidRPr="008D423F">
              <w:rPr>
                <w:rFonts w:ascii="Times New Roman" w:hAnsi="Times New Roman"/>
              </w:rPr>
              <w:lastRenderedPageBreak/>
              <w:t>wyznaczenie jako UPZ</w:t>
            </w:r>
          </w:p>
        </w:tc>
        <w:tc>
          <w:tcPr>
            <w:tcW w:w="2292" w:type="dxa"/>
            <w:gridSpan w:val="8"/>
            <w:shd w:val="clear" w:color="auto" w:fill="auto"/>
          </w:tcPr>
          <w:p w:rsidR="00713AC0" w:rsidRPr="008D423F" w:rsidRDefault="00AF5A2C" w:rsidP="00F41B81">
            <w:pPr>
              <w:spacing w:line="240" w:lineRule="auto"/>
              <w:jc w:val="both"/>
              <w:rPr>
                <w:rFonts w:ascii="Times New Roman" w:hAnsi="Times New Roman"/>
                <w:spacing w:val="-2"/>
              </w:rPr>
            </w:pPr>
            <w:r w:rsidRPr="008D423F">
              <w:rPr>
                <w:rFonts w:ascii="Times New Roman" w:hAnsi="Times New Roman"/>
                <w:spacing w:val="-2"/>
              </w:rPr>
              <w:lastRenderedPageBreak/>
              <w:t>5</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P</w:t>
            </w:r>
            <w:r w:rsidR="00AF5A2C" w:rsidRPr="008D423F">
              <w:rPr>
                <w:rFonts w:ascii="Times New Roman" w:hAnsi="Times New Roman"/>
                <w:spacing w:val="-2"/>
              </w:rPr>
              <w:t xml:space="preserve">orównanie z 3 wybranymi </w:t>
            </w:r>
            <w:r w:rsidR="00AF5A2C" w:rsidRPr="008D423F">
              <w:rPr>
                <w:rFonts w:ascii="Times New Roman" w:hAnsi="Times New Roman"/>
                <w:spacing w:val="-2"/>
              </w:rPr>
              <w:lastRenderedPageBreak/>
              <w:t>państwami europejskimi zgodnie z regułą konwergencji</w:t>
            </w:r>
          </w:p>
        </w:tc>
        <w:tc>
          <w:tcPr>
            <w:tcW w:w="2981" w:type="dxa"/>
            <w:gridSpan w:val="6"/>
            <w:shd w:val="clear" w:color="auto" w:fill="auto"/>
          </w:tcPr>
          <w:p w:rsidR="00713AC0" w:rsidRPr="008D423F" w:rsidRDefault="005F7C1E" w:rsidP="00F41B81">
            <w:pPr>
              <w:spacing w:line="240" w:lineRule="auto"/>
              <w:jc w:val="both"/>
              <w:rPr>
                <w:rFonts w:ascii="Times New Roman" w:hAnsi="Times New Roman"/>
                <w:spacing w:val="-2"/>
              </w:rPr>
            </w:pPr>
            <w:r>
              <w:rPr>
                <w:rFonts w:ascii="Times New Roman" w:hAnsi="Times New Roman"/>
                <w:spacing w:val="-2"/>
              </w:rPr>
              <w:lastRenderedPageBreak/>
              <w:t xml:space="preserve">Obciążenie koniecznością </w:t>
            </w:r>
            <w:r w:rsidR="006F5130" w:rsidRPr="008D423F">
              <w:rPr>
                <w:rFonts w:ascii="Times New Roman" w:hAnsi="Times New Roman"/>
                <w:spacing w:val="-2"/>
              </w:rPr>
              <w:lastRenderedPageBreak/>
              <w:t>wniesienia opłaty za wyznaczenie jako UPZ</w:t>
            </w:r>
            <w:r>
              <w:rPr>
                <w:rFonts w:ascii="Times New Roman" w:hAnsi="Times New Roman"/>
                <w:spacing w:val="-2"/>
              </w:rPr>
              <w:t>.</w:t>
            </w:r>
          </w:p>
        </w:tc>
      </w:tr>
      <w:tr w:rsidR="00713AC0" w:rsidRPr="008B4FE6" w:rsidTr="00676C8D">
        <w:trPr>
          <w:gridAfter w:val="1"/>
          <w:wAfter w:w="10" w:type="dxa"/>
          <w:trHeight w:val="142"/>
        </w:trPr>
        <w:tc>
          <w:tcPr>
            <w:tcW w:w="2668" w:type="dxa"/>
            <w:gridSpan w:val="3"/>
            <w:shd w:val="clear" w:color="auto" w:fill="auto"/>
          </w:tcPr>
          <w:p w:rsidR="00713AC0" w:rsidRPr="008D423F" w:rsidRDefault="006F5130" w:rsidP="00F41B81">
            <w:pPr>
              <w:tabs>
                <w:tab w:val="left" w:pos="1560"/>
              </w:tabs>
              <w:spacing w:line="240" w:lineRule="auto"/>
              <w:jc w:val="both"/>
              <w:rPr>
                <w:rFonts w:ascii="Times New Roman" w:hAnsi="Times New Roman"/>
              </w:rPr>
            </w:pPr>
            <w:r w:rsidRPr="008D423F">
              <w:rPr>
                <w:rFonts w:ascii="Times New Roman" w:hAnsi="Times New Roman"/>
              </w:rPr>
              <w:lastRenderedPageBreak/>
              <w:t>Podmioty ubiegające się o wyznaczenie lokalizacji dla ACC3</w:t>
            </w:r>
          </w:p>
        </w:tc>
        <w:tc>
          <w:tcPr>
            <w:tcW w:w="2292" w:type="dxa"/>
            <w:gridSpan w:val="8"/>
            <w:shd w:val="clear" w:color="auto" w:fill="auto"/>
          </w:tcPr>
          <w:p w:rsidR="00713AC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22</w:t>
            </w:r>
          </w:p>
        </w:tc>
        <w:tc>
          <w:tcPr>
            <w:tcW w:w="2996" w:type="dxa"/>
            <w:gridSpan w:val="12"/>
            <w:shd w:val="clear" w:color="auto" w:fill="auto"/>
          </w:tcPr>
          <w:p w:rsidR="00713AC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006F5130" w:rsidRPr="008D423F">
              <w:rPr>
                <w:rFonts w:ascii="Times New Roman" w:hAnsi="Times New Roman"/>
                <w:spacing w:val="-2"/>
              </w:rPr>
              <w:t>ane własne Urzędu Lotnictwa Cywilnego</w:t>
            </w:r>
          </w:p>
        </w:tc>
        <w:tc>
          <w:tcPr>
            <w:tcW w:w="2981" w:type="dxa"/>
            <w:gridSpan w:val="6"/>
            <w:shd w:val="clear" w:color="auto" w:fill="auto"/>
          </w:tcPr>
          <w:p w:rsidR="00713AC0" w:rsidRPr="008D423F" w:rsidRDefault="005F7C1E" w:rsidP="00F41B81">
            <w:pPr>
              <w:spacing w:line="240" w:lineRule="auto"/>
              <w:jc w:val="both"/>
              <w:rPr>
                <w:rFonts w:ascii="Times New Roman" w:hAnsi="Times New Roman"/>
                <w:spacing w:val="-2"/>
              </w:rPr>
            </w:pPr>
            <w:r>
              <w:rPr>
                <w:rFonts w:ascii="Times New Roman" w:hAnsi="Times New Roman"/>
                <w:spacing w:val="-2"/>
              </w:rPr>
              <w:t xml:space="preserve">Obciążenie koniecznością </w:t>
            </w:r>
            <w:r w:rsidR="006F5130" w:rsidRPr="008D423F">
              <w:rPr>
                <w:rFonts w:ascii="Times New Roman" w:hAnsi="Times New Roman"/>
                <w:spacing w:val="-2"/>
              </w:rPr>
              <w:t>poniesienia opłat za walidację jako ACC3.</w:t>
            </w:r>
          </w:p>
        </w:tc>
      </w:tr>
      <w:tr w:rsidR="006F5130" w:rsidRPr="008B4FE6" w:rsidTr="00676C8D">
        <w:trPr>
          <w:gridAfter w:val="1"/>
          <w:wAfter w:w="10" w:type="dxa"/>
          <w:trHeight w:val="142"/>
        </w:trPr>
        <w:tc>
          <w:tcPr>
            <w:tcW w:w="2668" w:type="dxa"/>
            <w:gridSpan w:val="3"/>
            <w:shd w:val="clear" w:color="auto" w:fill="auto"/>
          </w:tcPr>
          <w:p w:rsidR="006F5130" w:rsidRPr="008D423F" w:rsidRDefault="006F5130" w:rsidP="00F41B81">
            <w:pPr>
              <w:tabs>
                <w:tab w:val="left" w:pos="1560"/>
              </w:tabs>
              <w:spacing w:line="240" w:lineRule="auto"/>
              <w:jc w:val="both"/>
              <w:rPr>
                <w:rFonts w:ascii="Times New Roman" w:hAnsi="Times New Roman"/>
              </w:rPr>
            </w:pPr>
            <w:r w:rsidRPr="008D423F">
              <w:rPr>
                <w:rFonts w:ascii="Times New Roman" w:hAnsi="Times New Roman"/>
              </w:rPr>
              <w:t>Podmioty ubiegające się o wyznaczenie lokalizacji dla RA3</w:t>
            </w:r>
          </w:p>
        </w:tc>
        <w:tc>
          <w:tcPr>
            <w:tcW w:w="2292" w:type="dxa"/>
            <w:gridSpan w:val="8"/>
            <w:shd w:val="clear" w:color="auto" w:fill="auto"/>
          </w:tcPr>
          <w:p w:rsidR="006F513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8</w:t>
            </w:r>
          </w:p>
        </w:tc>
        <w:tc>
          <w:tcPr>
            <w:tcW w:w="2996" w:type="dxa"/>
            <w:gridSpan w:val="12"/>
            <w:shd w:val="clear" w:color="auto" w:fill="auto"/>
          </w:tcPr>
          <w:p w:rsidR="006F513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006F5130" w:rsidRPr="008D423F">
              <w:rPr>
                <w:rFonts w:ascii="Times New Roman" w:hAnsi="Times New Roman"/>
                <w:spacing w:val="-2"/>
              </w:rPr>
              <w:t>ane własne Urzędu Lotnictwa Cywilnego</w:t>
            </w:r>
          </w:p>
        </w:tc>
        <w:tc>
          <w:tcPr>
            <w:tcW w:w="2981" w:type="dxa"/>
            <w:gridSpan w:val="6"/>
            <w:shd w:val="clear" w:color="auto" w:fill="auto"/>
          </w:tcPr>
          <w:p w:rsidR="006F5130" w:rsidRPr="008D423F" w:rsidRDefault="005F7C1E" w:rsidP="00F41B81">
            <w:pPr>
              <w:spacing w:line="240" w:lineRule="auto"/>
              <w:jc w:val="both"/>
              <w:rPr>
                <w:rFonts w:ascii="Times New Roman" w:hAnsi="Times New Roman"/>
                <w:spacing w:val="-2"/>
              </w:rPr>
            </w:pPr>
            <w:r>
              <w:rPr>
                <w:rFonts w:ascii="Times New Roman" w:hAnsi="Times New Roman"/>
                <w:spacing w:val="-2"/>
              </w:rPr>
              <w:t xml:space="preserve">Obciążenie koniecznością </w:t>
            </w:r>
            <w:r w:rsidR="006F5130" w:rsidRPr="008D423F">
              <w:rPr>
                <w:rFonts w:ascii="Times New Roman" w:hAnsi="Times New Roman"/>
                <w:spacing w:val="-2"/>
              </w:rPr>
              <w:t>poniesienia opłat za walidację jako RA3</w:t>
            </w:r>
            <w:r>
              <w:rPr>
                <w:rFonts w:ascii="Times New Roman" w:hAnsi="Times New Roman"/>
                <w:spacing w:val="-2"/>
              </w:rPr>
              <w:t>.</w:t>
            </w:r>
          </w:p>
        </w:tc>
      </w:tr>
      <w:tr w:rsidR="006F5130" w:rsidRPr="008B4FE6" w:rsidTr="00676C8D">
        <w:trPr>
          <w:gridAfter w:val="1"/>
          <w:wAfter w:w="10" w:type="dxa"/>
          <w:trHeight w:val="142"/>
        </w:trPr>
        <w:tc>
          <w:tcPr>
            <w:tcW w:w="2668" w:type="dxa"/>
            <w:gridSpan w:val="3"/>
            <w:shd w:val="clear" w:color="auto" w:fill="auto"/>
          </w:tcPr>
          <w:p w:rsidR="006F5130" w:rsidRPr="008D423F" w:rsidRDefault="006F5130" w:rsidP="00F41B81">
            <w:pPr>
              <w:tabs>
                <w:tab w:val="left" w:pos="1560"/>
              </w:tabs>
              <w:spacing w:line="240" w:lineRule="auto"/>
              <w:jc w:val="both"/>
              <w:rPr>
                <w:rFonts w:ascii="Times New Roman" w:hAnsi="Times New Roman"/>
              </w:rPr>
            </w:pPr>
            <w:r w:rsidRPr="008D423F">
              <w:rPr>
                <w:rFonts w:ascii="Times New Roman" w:hAnsi="Times New Roman"/>
              </w:rPr>
              <w:t>Podmioty wykonujące operacje lotnicze w zakr. AWC</w:t>
            </w:r>
          </w:p>
        </w:tc>
        <w:tc>
          <w:tcPr>
            <w:tcW w:w="2292" w:type="dxa"/>
            <w:gridSpan w:val="8"/>
            <w:shd w:val="clear" w:color="auto" w:fill="auto"/>
          </w:tcPr>
          <w:p w:rsidR="006F513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44 podmiot</w:t>
            </w:r>
            <w:r w:rsidR="005F7C1E">
              <w:rPr>
                <w:rFonts w:ascii="Times New Roman" w:hAnsi="Times New Roman"/>
                <w:spacing w:val="-2"/>
              </w:rPr>
              <w:t>y</w:t>
            </w:r>
          </w:p>
        </w:tc>
        <w:tc>
          <w:tcPr>
            <w:tcW w:w="2996" w:type="dxa"/>
            <w:gridSpan w:val="12"/>
            <w:shd w:val="clear" w:color="auto" w:fill="auto"/>
          </w:tcPr>
          <w:p w:rsidR="006F5130" w:rsidRPr="008D423F" w:rsidRDefault="00D70749" w:rsidP="00F41B81">
            <w:pPr>
              <w:spacing w:line="240" w:lineRule="auto"/>
              <w:jc w:val="both"/>
              <w:rPr>
                <w:rFonts w:ascii="Times New Roman" w:hAnsi="Times New Roman"/>
                <w:spacing w:val="-2"/>
              </w:rPr>
            </w:pPr>
            <w:r>
              <w:rPr>
                <w:rFonts w:ascii="Times New Roman" w:hAnsi="Times New Roman"/>
                <w:spacing w:val="-2"/>
              </w:rPr>
              <w:t>D</w:t>
            </w:r>
            <w:r w:rsidR="006F5130" w:rsidRPr="008D423F">
              <w:rPr>
                <w:rFonts w:ascii="Times New Roman" w:hAnsi="Times New Roman"/>
                <w:spacing w:val="-2"/>
              </w:rPr>
              <w:t>ane własne Urzędu Lotnictwa Cywilnego</w:t>
            </w:r>
          </w:p>
        </w:tc>
        <w:tc>
          <w:tcPr>
            <w:tcW w:w="2981" w:type="dxa"/>
            <w:gridSpan w:val="6"/>
            <w:shd w:val="clear" w:color="auto" w:fill="auto"/>
          </w:tcPr>
          <w:p w:rsidR="006F513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Normatywne, bezpośrednie</w:t>
            </w:r>
            <w:r w:rsidR="005F7C1E">
              <w:rPr>
                <w:rFonts w:ascii="Times New Roman" w:hAnsi="Times New Roman"/>
                <w:spacing w:val="-2"/>
              </w:rPr>
              <w:t>.</w:t>
            </w:r>
          </w:p>
        </w:tc>
      </w:tr>
      <w:tr w:rsidR="006F5130" w:rsidRPr="008B4FE6" w:rsidTr="00B0652A">
        <w:trPr>
          <w:gridAfter w:val="1"/>
          <w:wAfter w:w="10" w:type="dxa"/>
          <w:trHeight w:val="142"/>
        </w:trPr>
        <w:tc>
          <w:tcPr>
            <w:tcW w:w="2668" w:type="dxa"/>
            <w:gridSpan w:val="3"/>
            <w:tcBorders>
              <w:bottom w:val="single" w:sz="4" w:space="0" w:color="auto"/>
            </w:tcBorders>
            <w:shd w:val="clear" w:color="auto" w:fill="auto"/>
          </w:tcPr>
          <w:p w:rsidR="006F5130" w:rsidRPr="008D423F" w:rsidRDefault="006F5130" w:rsidP="00F41B81">
            <w:pPr>
              <w:tabs>
                <w:tab w:val="left" w:pos="1560"/>
              </w:tabs>
              <w:spacing w:line="240" w:lineRule="auto"/>
              <w:jc w:val="both"/>
              <w:rPr>
                <w:rFonts w:ascii="Times New Roman" w:hAnsi="Times New Roman"/>
              </w:rPr>
            </w:pPr>
            <w:r w:rsidRPr="008D423F">
              <w:rPr>
                <w:rFonts w:ascii="Times New Roman" w:hAnsi="Times New Roman"/>
              </w:rPr>
              <w:t>Podmioty wykonujące operacje lotnicze</w:t>
            </w:r>
            <w:r w:rsidRPr="008D423F">
              <w:rPr>
                <w:rFonts w:ascii="Times New Roman" w:hAnsi="Times New Roman"/>
                <w:spacing w:val="-2"/>
              </w:rPr>
              <w:t xml:space="preserve"> niecertyfikowane</w:t>
            </w:r>
          </w:p>
        </w:tc>
        <w:tc>
          <w:tcPr>
            <w:tcW w:w="2292" w:type="dxa"/>
            <w:gridSpan w:val="8"/>
            <w:tcBorders>
              <w:bottom w:val="single" w:sz="4" w:space="0" w:color="auto"/>
            </w:tcBorders>
            <w:shd w:val="clear" w:color="auto" w:fill="auto"/>
          </w:tcPr>
          <w:p w:rsidR="006F513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Ok. 2200 podmiotów</w:t>
            </w:r>
          </w:p>
        </w:tc>
        <w:tc>
          <w:tcPr>
            <w:tcW w:w="2996" w:type="dxa"/>
            <w:gridSpan w:val="12"/>
            <w:tcBorders>
              <w:bottom w:val="single" w:sz="4" w:space="0" w:color="auto"/>
            </w:tcBorders>
            <w:shd w:val="clear" w:color="auto" w:fill="auto"/>
          </w:tcPr>
          <w:p w:rsidR="006F513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 xml:space="preserve">Rejestr Cywilnych Statków Powietrznych prowadzony przez </w:t>
            </w:r>
            <w:r>
              <w:rPr>
                <w:rFonts w:ascii="Times New Roman" w:hAnsi="Times New Roman"/>
                <w:spacing w:val="-2"/>
              </w:rPr>
              <w:t>Urząd</w:t>
            </w:r>
            <w:r w:rsidRPr="008D423F">
              <w:rPr>
                <w:rFonts w:ascii="Times New Roman" w:hAnsi="Times New Roman"/>
                <w:spacing w:val="-2"/>
              </w:rPr>
              <w:t xml:space="preserve"> Lotnictwa Cywilnego</w:t>
            </w:r>
          </w:p>
        </w:tc>
        <w:tc>
          <w:tcPr>
            <w:tcW w:w="2981" w:type="dxa"/>
            <w:gridSpan w:val="6"/>
            <w:tcBorders>
              <w:bottom w:val="single" w:sz="4" w:space="0" w:color="auto"/>
            </w:tcBorders>
            <w:shd w:val="clear" w:color="auto" w:fill="auto"/>
          </w:tcPr>
          <w:p w:rsidR="006F5130" w:rsidRPr="008D423F" w:rsidRDefault="006F5130" w:rsidP="00F41B81">
            <w:pPr>
              <w:spacing w:line="240" w:lineRule="auto"/>
              <w:jc w:val="both"/>
              <w:rPr>
                <w:rFonts w:ascii="Times New Roman" w:hAnsi="Times New Roman"/>
                <w:spacing w:val="-2"/>
              </w:rPr>
            </w:pPr>
            <w:r w:rsidRPr="008D423F">
              <w:rPr>
                <w:rFonts w:ascii="Times New Roman" w:hAnsi="Times New Roman"/>
                <w:spacing w:val="-2"/>
              </w:rPr>
              <w:t>Normatywne, bezpośrednie</w:t>
            </w:r>
            <w:r w:rsidR="005F7C1E">
              <w:rPr>
                <w:rFonts w:ascii="Times New Roman" w:hAnsi="Times New Roman"/>
                <w:spacing w:val="-2"/>
              </w:rPr>
              <w:t>.</w:t>
            </w:r>
          </w:p>
        </w:tc>
      </w:tr>
      <w:tr w:rsidR="00135501" w:rsidRPr="008B4FE6" w:rsidTr="00B0652A">
        <w:trPr>
          <w:gridAfter w:val="1"/>
          <w:wAfter w:w="10" w:type="dxa"/>
          <w:trHeight w:val="142"/>
        </w:trPr>
        <w:tc>
          <w:tcPr>
            <w:tcW w:w="2668" w:type="dxa"/>
            <w:gridSpan w:val="3"/>
            <w:tcBorders>
              <w:bottom w:val="single" w:sz="4" w:space="0" w:color="auto"/>
            </w:tcBorders>
            <w:shd w:val="clear" w:color="auto" w:fill="auto"/>
          </w:tcPr>
          <w:p w:rsidR="00135501" w:rsidRPr="008D423F" w:rsidRDefault="00135501" w:rsidP="00F41B81">
            <w:pPr>
              <w:tabs>
                <w:tab w:val="left" w:pos="1560"/>
              </w:tabs>
              <w:spacing w:line="240" w:lineRule="auto"/>
              <w:jc w:val="both"/>
              <w:rPr>
                <w:rFonts w:ascii="Times New Roman" w:hAnsi="Times New Roman"/>
              </w:rPr>
            </w:pPr>
            <w:r w:rsidRPr="00135501">
              <w:rPr>
                <w:rFonts w:ascii="Times New Roman" w:hAnsi="Times New Roman"/>
              </w:rPr>
              <w:t>Starostowie</w:t>
            </w:r>
          </w:p>
        </w:tc>
        <w:tc>
          <w:tcPr>
            <w:tcW w:w="2292" w:type="dxa"/>
            <w:gridSpan w:val="8"/>
            <w:tcBorders>
              <w:bottom w:val="single" w:sz="4" w:space="0" w:color="auto"/>
            </w:tcBorders>
            <w:shd w:val="clear" w:color="auto" w:fill="auto"/>
          </w:tcPr>
          <w:p w:rsidR="00135501" w:rsidRPr="001A54E6" w:rsidRDefault="00135501" w:rsidP="00135501">
            <w:pPr>
              <w:spacing w:line="240" w:lineRule="auto"/>
              <w:jc w:val="both"/>
              <w:rPr>
                <w:rFonts w:ascii="Times New Roman" w:hAnsi="Times New Roman"/>
                <w:spacing w:val="-2"/>
              </w:rPr>
            </w:pPr>
            <w:r w:rsidRPr="001A54E6">
              <w:rPr>
                <w:rFonts w:ascii="Times New Roman" w:hAnsi="Times New Roman"/>
                <w:spacing w:val="-2"/>
              </w:rPr>
              <w:t xml:space="preserve">Ok. 2 powiatów na lotnisko użytku publicznego, ok. 1 powiat na lotnisko użytku wyłącznego, w sumie około 50 powiatów. </w:t>
            </w:r>
          </w:p>
          <w:p w:rsidR="00135501" w:rsidRPr="008D423F" w:rsidRDefault="00135501" w:rsidP="00F41B81">
            <w:pPr>
              <w:spacing w:line="240" w:lineRule="auto"/>
              <w:jc w:val="both"/>
              <w:rPr>
                <w:rFonts w:ascii="Times New Roman" w:hAnsi="Times New Roman"/>
                <w:spacing w:val="-2"/>
              </w:rPr>
            </w:pPr>
          </w:p>
        </w:tc>
        <w:tc>
          <w:tcPr>
            <w:tcW w:w="2996" w:type="dxa"/>
            <w:gridSpan w:val="12"/>
            <w:tcBorders>
              <w:bottom w:val="single" w:sz="4" w:space="0" w:color="auto"/>
            </w:tcBorders>
            <w:shd w:val="clear" w:color="auto" w:fill="auto"/>
          </w:tcPr>
          <w:p w:rsidR="00135501" w:rsidRPr="008D423F" w:rsidRDefault="00135501" w:rsidP="00F41B81">
            <w:pPr>
              <w:spacing w:line="240" w:lineRule="auto"/>
              <w:jc w:val="both"/>
              <w:rPr>
                <w:rFonts w:ascii="Times New Roman" w:hAnsi="Times New Roman"/>
                <w:spacing w:val="-2"/>
              </w:rPr>
            </w:pPr>
            <w:r w:rsidRPr="008E551C">
              <w:rPr>
                <w:rFonts w:ascii="Times New Roman" w:hAnsi="Times New Roman"/>
                <w:spacing w:val="-2"/>
              </w:rPr>
              <w:t>Dane własne Urzędu Lotnictwa Cywilnego (nie prowadzi się ewidencji liczby organów samorządu terytorialnego, liczba uśredniona)</w:t>
            </w:r>
          </w:p>
        </w:tc>
        <w:tc>
          <w:tcPr>
            <w:tcW w:w="2981" w:type="dxa"/>
            <w:gridSpan w:val="6"/>
            <w:tcBorders>
              <w:bottom w:val="single" w:sz="4" w:space="0" w:color="auto"/>
            </w:tcBorders>
            <w:shd w:val="clear" w:color="auto" w:fill="auto"/>
          </w:tcPr>
          <w:p w:rsidR="00135501" w:rsidRPr="006E102A" w:rsidRDefault="00135501" w:rsidP="00135501">
            <w:pPr>
              <w:spacing w:line="240" w:lineRule="auto"/>
              <w:jc w:val="both"/>
              <w:rPr>
                <w:rFonts w:ascii="Times New Roman" w:hAnsi="Times New Roman"/>
                <w:spacing w:val="-2"/>
              </w:rPr>
            </w:pPr>
            <w:r w:rsidRPr="006E102A">
              <w:rPr>
                <w:rFonts w:ascii="Times New Roman" w:hAnsi="Times New Roman"/>
                <w:spacing w:val="-2"/>
              </w:rPr>
              <w:t xml:space="preserve">Wydawanie decyzji w zakresie usuwania przeszkód lotniczych (drzew i krzewów). </w:t>
            </w:r>
          </w:p>
          <w:p w:rsidR="00135501" w:rsidRPr="008D423F" w:rsidRDefault="00135501" w:rsidP="00135501">
            <w:pPr>
              <w:spacing w:line="240" w:lineRule="auto"/>
              <w:jc w:val="both"/>
              <w:rPr>
                <w:rFonts w:ascii="Times New Roman" w:hAnsi="Times New Roman"/>
                <w:spacing w:val="-2"/>
              </w:rPr>
            </w:pPr>
            <w:r w:rsidRPr="006E102A">
              <w:rPr>
                <w:rFonts w:ascii="Times New Roman" w:hAnsi="Times New Roman"/>
                <w:spacing w:val="-2"/>
              </w:rPr>
              <w:t>Koszty dotyczące decyzji na wycinkę drzew nie ulegną zmianie, gdyż przepisy regulujące tę kwestię obowiązują również obecnie. Projekt wprowadza jedynie zmianę w zakresie przeniesienia kosztów na inny podmiot, który je będzie ponosił</w:t>
            </w:r>
            <w:r>
              <w:rPr>
                <w:rFonts w:ascii="Times New Roman" w:hAnsi="Times New Roman"/>
                <w:spacing w:val="-2"/>
              </w:rPr>
              <w:t>.</w:t>
            </w:r>
          </w:p>
        </w:tc>
      </w:tr>
      <w:tr w:rsidR="00135501" w:rsidRPr="008B4FE6" w:rsidTr="00676C8D">
        <w:trPr>
          <w:gridAfter w:val="1"/>
          <w:wAfter w:w="10" w:type="dxa"/>
          <w:trHeight w:val="142"/>
        </w:trPr>
        <w:tc>
          <w:tcPr>
            <w:tcW w:w="2668" w:type="dxa"/>
            <w:gridSpan w:val="3"/>
            <w:shd w:val="clear" w:color="auto" w:fill="auto"/>
          </w:tcPr>
          <w:p w:rsidR="00135501" w:rsidRPr="006F5130" w:rsidRDefault="00135501" w:rsidP="00F41B81">
            <w:pPr>
              <w:tabs>
                <w:tab w:val="left" w:pos="1560"/>
              </w:tabs>
              <w:spacing w:line="240" w:lineRule="auto"/>
              <w:jc w:val="both"/>
              <w:rPr>
                <w:rFonts w:ascii="Times New Roman" w:hAnsi="Times New Roman"/>
              </w:rPr>
            </w:pPr>
            <w:r>
              <w:rPr>
                <w:rFonts w:ascii="Times New Roman" w:hAnsi="Times New Roman"/>
              </w:rPr>
              <w:t>Gminy</w:t>
            </w:r>
          </w:p>
        </w:tc>
        <w:tc>
          <w:tcPr>
            <w:tcW w:w="2292" w:type="dxa"/>
            <w:gridSpan w:val="8"/>
            <w:shd w:val="clear" w:color="auto" w:fill="auto"/>
          </w:tcPr>
          <w:p w:rsidR="00135501" w:rsidRDefault="00135501" w:rsidP="00F41B81">
            <w:pPr>
              <w:spacing w:line="240" w:lineRule="auto"/>
              <w:jc w:val="both"/>
              <w:rPr>
                <w:rFonts w:ascii="Times New Roman" w:hAnsi="Times New Roman"/>
                <w:spacing w:val="-2"/>
              </w:rPr>
            </w:pPr>
            <w:r w:rsidRPr="006F5130">
              <w:rPr>
                <w:rFonts w:ascii="Times New Roman" w:hAnsi="Times New Roman"/>
                <w:spacing w:val="-2"/>
              </w:rPr>
              <w:t>Ok. 350 gmin znajduje się w powierzchniach ograniczających przeszkody (średnio 5 gmin na lotnisko wyłączne, średnio 10 gmin  na lotnisko publiczne)</w:t>
            </w:r>
          </w:p>
          <w:p w:rsidR="00135501" w:rsidRPr="006F5130" w:rsidRDefault="00135501" w:rsidP="00F41B81">
            <w:pPr>
              <w:spacing w:line="240" w:lineRule="auto"/>
              <w:jc w:val="both"/>
              <w:rPr>
                <w:rFonts w:ascii="Times New Roman" w:hAnsi="Times New Roman"/>
                <w:spacing w:val="-2"/>
              </w:rPr>
            </w:pPr>
            <w:r>
              <w:rPr>
                <w:rFonts w:ascii="Times New Roman" w:hAnsi="Times New Roman"/>
                <w:spacing w:val="-2"/>
              </w:rPr>
              <w:t>Ponad 600 gmin znajduje się w zasięgu powierzchni ograniczających zabudowę w pobliżu lotniczych urządzeń naziemnych.</w:t>
            </w:r>
          </w:p>
        </w:tc>
        <w:tc>
          <w:tcPr>
            <w:tcW w:w="2996" w:type="dxa"/>
            <w:gridSpan w:val="12"/>
            <w:shd w:val="clear" w:color="auto" w:fill="auto"/>
          </w:tcPr>
          <w:p w:rsidR="00135501" w:rsidRPr="006F5130" w:rsidRDefault="00135501" w:rsidP="00F41B81">
            <w:pPr>
              <w:spacing w:line="240" w:lineRule="auto"/>
              <w:jc w:val="both"/>
              <w:rPr>
                <w:rFonts w:ascii="Times New Roman" w:hAnsi="Times New Roman"/>
                <w:spacing w:val="-2"/>
              </w:rPr>
            </w:pPr>
            <w:r>
              <w:rPr>
                <w:rFonts w:ascii="Times New Roman" w:hAnsi="Times New Roman"/>
                <w:spacing w:val="-2"/>
              </w:rPr>
              <w:t>D</w:t>
            </w:r>
            <w:r w:rsidRPr="006F5130">
              <w:rPr>
                <w:rFonts w:ascii="Times New Roman" w:hAnsi="Times New Roman"/>
                <w:spacing w:val="-2"/>
              </w:rPr>
              <w:t>ane własne Urzędu Lotnictwa Cywilnego (nie prowadzi się ewidencji liczby organów samorządu terytorialnego, liczba uśredniona)</w:t>
            </w:r>
          </w:p>
        </w:tc>
        <w:tc>
          <w:tcPr>
            <w:tcW w:w="2981" w:type="dxa"/>
            <w:gridSpan w:val="6"/>
            <w:shd w:val="clear" w:color="auto" w:fill="auto"/>
          </w:tcPr>
          <w:p w:rsidR="00135501" w:rsidRDefault="00135501" w:rsidP="00B0652A">
            <w:pPr>
              <w:spacing w:line="240" w:lineRule="auto"/>
              <w:jc w:val="both"/>
              <w:rPr>
                <w:rFonts w:ascii="Times New Roman" w:hAnsi="Times New Roman"/>
                <w:spacing w:val="-2"/>
              </w:rPr>
            </w:pPr>
            <w:r w:rsidRPr="00B0652A">
              <w:rPr>
                <w:rFonts w:ascii="Times New Roman" w:hAnsi="Times New Roman"/>
                <w:spacing w:val="-2"/>
              </w:rPr>
              <w:t>W zakresie propozycji zmian dotyczących regulacji  powierzchni ograniczających przeszkody ze  względu na małą liczbę opracowanych miejscowych planów zagospodarowania przestrzennego dla terenów lotnisk i ich otoczenia oraz przewidywanej niewielkiej liczby (średnio w roku ok. 3-5) wniosków  zarządzających o zmianę powierzchni ograniczających ponoszone koszty nie będą znaczne.</w:t>
            </w:r>
            <w:r w:rsidRPr="00F57E5D">
              <w:rPr>
                <w:rFonts w:ascii="Times New Roman" w:hAnsi="Times New Roman"/>
                <w:spacing w:val="-2"/>
              </w:rPr>
              <w:t xml:space="preserve">   </w:t>
            </w:r>
          </w:p>
          <w:p w:rsidR="00135501" w:rsidRDefault="00135501" w:rsidP="00B0652A">
            <w:pPr>
              <w:spacing w:line="240" w:lineRule="auto"/>
              <w:jc w:val="both"/>
              <w:rPr>
                <w:rFonts w:ascii="Times New Roman" w:hAnsi="Times New Roman"/>
                <w:spacing w:val="-2"/>
              </w:rPr>
            </w:pPr>
          </w:p>
          <w:p w:rsidR="00135501" w:rsidRDefault="00135501" w:rsidP="00B0652A">
            <w:pPr>
              <w:spacing w:line="240" w:lineRule="auto"/>
              <w:jc w:val="both"/>
              <w:rPr>
                <w:rFonts w:ascii="Times New Roman" w:hAnsi="Times New Roman"/>
                <w:spacing w:val="-2"/>
              </w:rPr>
            </w:pPr>
          </w:p>
          <w:p w:rsidR="00135501" w:rsidRPr="00011ECE" w:rsidRDefault="00135501" w:rsidP="00B0652A">
            <w:pPr>
              <w:rPr>
                <w:rFonts w:ascii="Times New Roman" w:hAnsi="Times New Roman"/>
                <w:color w:val="000000"/>
              </w:rPr>
            </w:pPr>
            <w:r w:rsidRPr="00011ECE">
              <w:rPr>
                <w:rFonts w:ascii="Times New Roman" w:hAnsi="Times New Roman"/>
                <w:spacing w:val="-2"/>
              </w:rPr>
              <w:t xml:space="preserve">Konieczność uwzględniania stref ograniczonej zabudowy w pobliżu lotniczych urządzeń naziemnych w kształtowaniu ładu przestrzennego. </w:t>
            </w:r>
          </w:p>
          <w:p w:rsidR="00135501" w:rsidRPr="006F5130" w:rsidRDefault="00135501" w:rsidP="00B0652A">
            <w:pPr>
              <w:spacing w:line="240" w:lineRule="auto"/>
              <w:jc w:val="both"/>
              <w:rPr>
                <w:rFonts w:ascii="Times New Roman" w:hAnsi="Times New Roman"/>
                <w:spacing w:val="-2"/>
              </w:rPr>
            </w:pPr>
            <w:r w:rsidRPr="00011ECE">
              <w:rPr>
                <w:rFonts w:ascii="Times New Roman" w:hAnsi="Times New Roman"/>
                <w:color w:val="000000"/>
              </w:rPr>
              <w:t>Wprowadzane powierzchnie ograniczające zabudowę nie</w:t>
            </w:r>
            <w:r w:rsidRPr="00011ECE">
              <w:rPr>
                <w:rFonts w:ascii="Times New Roman" w:hAnsi="Times New Roman"/>
                <w:color w:val="000000"/>
                <w:u w:val="single"/>
              </w:rPr>
              <w:t xml:space="preserve"> </w:t>
            </w:r>
            <w:r w:rsidRPr="00011ECE">
              <w:rPr>
                <w:rFonts w:ascii="Times New Roman" w:hAnsi="Times New Roman"/>
                <w:color w:val="000000"/>
              </w:rPr>
              <w:t>będą miały wpływu na rozpoczęte inwestycje.</w:t>
            </w:r>
          </w:p>
        </w:tc>
      </w:tr>
      <w:tr w:rsidR="00546A9F" w:rsidRPr="008B4FE6" w:rsidTr="00676C8D">
        <w:trPr>
          <w:gridAfter w:val="1"/>
          <w:wAfter w:w="10" w:type="dxa"/>
          <w:trHeight w:val="142"/>
        </w:trPr>
        <w:tc>
          <w:tcPr>
            <w:tcW w:w="2668" w:type="dxa"/>
            <w:gridSpan w:val="3"/>
            <w:shd w:val="clear" w:color="auto" w:fill="auto"/>
          </w:tcPr>
          <w:p w:rsidR="00546A9F" w:rsidRDefault="00546A9F" w:rsidP="00F41B81">
            <w:pPr>
              <w:tabs>
                <w:tab w:val="left" w:pos="1560"/>
              </w:tabs>
              <w:spacing w:line="240" w:lineRule="auto"/>
              <w:jc w:val="both"/>
              <w:rPr>
                <w:rFonts w:ascii="Times New Roman" w:hAnsi="Times New Roman"/>
              </w:rPr>
            </w:pPr>
            <w:r>
              <w:rPr>
                <w:rFonts w:ascii="Times New Roman" w:hAnsi="Times New Roman"/>
              </w:rPr>
              <w:t>Polska Agencja Żeglugi Powietrznej</w:t>
            </w:r>
          </w:p>
        </w:tc>
        <w:tc>
          <w:tcPr>
            <w:tcW w:w="2292" w:type="dxa"/>
            <w:gridSpan w:val="8"/>
            <w:shd w:val="clear" w:color="auto" w:fill="auto"/>
          </w:tcPr>
          <w:p w:rsidR="00546A9F" w:rsidRPr="006F5130" w:rsidRDefault="00546A9F" w:rsidP="00F41B81">
            <w:pPr>
              <w:spacing w:line="240" w:lineRule="auto"/>
              <w:jc w:val="both"/>
              <w:rPr>
                <w:rFonts w:ascii="Times New Roman" w:hAnsi="Times New Roman"/>
                <w:spacing w:val="-2"/>
              </w:rPr>
            </w:pPr>
          </w:p>
        </w:tc>
        <w:tc>
          <w:tcPr>
            <w:tcW w:w="2996" w:type="dxa"/>
            <w:gridSpan w:val="12"/>
            <w:shd w:val="clear" w:color="auto" w:fill="auto"/>
          </w:tcPr>
          <w:p w:rsidR="00546A9F" w:rsidRDefault="00546A9F" w:rsidP="00F41B81">
            <w:pPr>
              <w:spacing w:line="240" w:lineRule="auto"/>
              <w:jc w:val="both"/>
              <w:rPr>
                <w:rFonts w:ascii="Times New Roman" w:hAnsi="Times New Roman"/>
                <w:spacing w:val="-2"/>
              </w:rPr>
            </w:pPr>
          </w:p>
        </w:tc>
        <w:tc>
          <w:tcPr>
            <w:tcW w:w="2981" w:type="dxa"/>
            <w:gridSpan w:val="6"/>
            <w:shd w:val="clear" w:color="auto" w:fill="auto"/>
          </w:tcPr>
          <w:p w:rsidR="00546A9F" w:rsidRPr="00546A9F" w:rsidRDefault="00546A9F" w:rsidP="00546A9F">
            <w:pPr>
              <w:spacing w:line="240" w:lineRule="auto"/>
              <w:jc w:val="both"/>
              <w:rPr>
                <w:rFonts w:ascii="Times New Roman" w:hAnsi="Times New Roman"/>
                <w:spacing w:val="-2"/>
              </w:rPr>
            </w:pPr>
            <w:r w:rsidRPr="00546A9F">
              <w:rPr>
                <w:rFonts w:ascii="Times New Roman" w:hAnsi="Times New Roman"/>
                <w:spacing w:val="-2"/>
              </w:rPr>
              <w:t xml:space="preserve">Konieczność wypłaty ewentualnych odszkodowań lub wykupu nieruchomości, </w:t>
            </w:r>
            <w:r>
              <w:rPr>
                <w:rFonts w:ascii="Times New Roman" w:hAnsi="Times New Roman"/>
                <w:spacing w:val="-2"/>
              </w:rPr>
              <w:t>j</w:t>
            </w:r>
            <w:r w:rsidRPr="00546A9F">
              <w:rPr>
                <w:rFonts w:ascii="Times New Roman" w:hAnsi="Times New Roman"/>
                <w:spacing w:val="-2"/>
              </w:rPr>
              <w:t xml:space="preserve">eżeli, w związku z uchwaleniem planu miejscowego albo jego zmianą, </w:t>
            </w:r>
            <w:r w:rsidRPr="00546A9F">
              <w:rPr>
                <w:rFonts w:ascii="Times New Roman" w:hAnsi="Times New Roman"/>
                <w:spacing w:val="-2"/>
              </w:rPr>
              <w:lastRenderedPageBreak/>
              <w:t>w którym uwzględniono powierzchnie ograniczające zabudowę, dla terenu na którym znajduje się lotnicze urządzenie naziemne, korzystanie z nieruchomości lub jej części w dotychczasowy sposób lub zgodny z dotychczasowym przeznaczeniem stało się niemożliwe bądź istotnie ograniczone</w:t>
            </w:r>
            <w:r>
              <w:rPr>
                <w:rFonts w:ascii="Times New Roman" w:hAnsi="Times New Roman"/>
                <w:spacing w:val="-2"/>
              </w:rPr>
              <w:t>.</w:t>
            </w:r>
            <w:r w:rsidRPr="00546A9F">
              <w:rPr>
                <w:rFonts w:ascii="Times New Roman" w:hAnsi="Times New Roman"/>
                <w:spacing w:val="-2"/>
              </w:rPr>
              <w:t xml:space="preserve">  </w:t>
            </w:r>
          </w:p>
        </w:tc>
      </w:tr>
      <w:tr w:rsidR="00135501" w:rsidRPr="008B4FE6" w:rsidTr="00676C8D">
        <w:trPr>
          <w:gridAfter w:val="1"/>
          <w:wAfter w:w="10" w:type="dxa"/>
          <w:trHeight w:val="302"/>
        </w:trPr>
        <w:tc>
          <w:tcPr>
            <w:tcW w:w="10937" w:type="dxa"/>
            <w:gridSpan w:val="29"/>
            <w:shd w:val="clear" w:color="auto" w:fill="99CCFF"/>
            <w:vAlign w:val="center"/>
          </w:tcPr>
          <w:p w:rsidR="00135501" w:rsidRPr="008B4FE6" w:rsidRDefault="00135501" w:rsidP="00F41B8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135501" w:rsidRPr="008B4FE6" w:rsidTr="00676C8D">
        <w:trPr>
          <w:gridAfter w:val="1"/>
          <w:wAfter w:w="10" w:type="dxa"/>
          <w:trHeight w:val="342"/>
        </w:trPr>
        <w:tc>
          <w:tcPr>
            <w:tcW w:w="10937" w:type="dxa"/>
            <w:gridSpan w:val="29"/>
            <w:shd w:val="clear" w:color="auto" w:fill="FFFFFF"/>
          </w:tcPr>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Zasadnicze konsultacje zostaną przeprowadzone zgodnie z trybem przewidzianym w Regulaminie pracy Rady Ministrów i obejmą one podmioty d</w:t>
            </w:r>
            <w:r>
              <w:rPr>
                <w:rFonts w:ascii="Times New Roman" w:hAnsi="Times New Roman"/>
                <w:spacing w:val="-2"/>
              </w:rPr>
              <w:t>ziałające w segmencie lotniczym. Lista podmiotów stanowi załącznik do OSR.</w:t>
            </w:r>
          </w:p>
          <w:p w:rsidR="00135501" w:rsidRDefault="00135501" w:rsidP="00F41B81">
            <w:pPr>
              <w:spacing w:line="240" w:lineRule="auto"/>
              <w:jc w:val="both"/>
              <w:rPr>
                <w:rFonts w:ascii="Times New Roman" w:hAnsi="Times New Roman"/>
                <w:color w:val="000000"/>
                <w:spacing w:val="-2"/>
              </w:rPr>
            </w:pP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rPr>
              <w:t>Niezależnie od tego:</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u w:val="single"/>
              </w:rPr>
              <w:t>w zakresie praw pasażerów</w:t>
            </w:r>
            <w:r w:rsidRPr="008D423F">
              <w:rPr>
                <w:rFonts w:ascii="Times New Roman" w:hAnsi="Times New Roman"/>
                <w:spacing w:val="-2"/>
              </w:rPr>
              <w:t xml:space="preserve"> – prowadzono pre-konsultacje z: PLL „LOT” S.A., Enter Air sp. z o.o., Small Planet Poland sp. z o.o., Kancelaria Prawna GOLDMAN sp. z o.o. – proponowane zmiany spotkały się zasadniczo z pozytywnym przyjęciem, z wyłączeniem stanowiska Enter Air;</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u w:val="single"/>
              </w:rPr>
              <w:t>w zakresie personelu lotniczego</w:t>
            </w:r>
            <w:r w:rsidRPr="008D423F">
              <w:rPr>
                <w:rFonts w:ascii="Times New Roman" w:hAnsi="Times New Roman"/>
                <w:spacing w:val="-2"/>
              </w:rPr>
              <w:t xml:space="preserve"> – organizowane były spotkania informacyjne  i seminaria dla środowiska lotniczego w sprawie zmian w przepisach UE dotyczących personelu lotniczego. W ich wyniku na powstałe wątpliwości (zgłaszane telefonicznie lub pisemnie) ULC publikował  komunikaty i wytyczne Prezesa ULC – pozwoliło to rozpoznać obszar, w którym przepisy ustawy – Prawo lotnicze wymagają zmiany w celu ich dostosowania do prawa UE. </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w zakresie operacji lotniczych:</w:t>
            </w:r>
          </w:p>
          <w:p w:rsidR="00135501" w:rsidRDefault="00135501" w:rsidP="00F41B81">
            <w:pPr>
              <w:spacing w:line="240" w:lineRule="auto"/>
              <w:jc w:val="both"/>
              <w:rPr>
                <w:rFonts w:ascii="Times New Roman" w:hAnsi="Times New Roman"/>
                <w:color w:val="000000"/>
                <w:spacing w:val="-2"/>
              </w:rPr>
            </w:pPr>
            <w:r w:rsidRPr="008D423F">
              <w:rPr>
                <w:rFonts w:ascii="Times New Roman" w:hAnsi="Times New Roman"/>
                <w:spacing w:val="-2"/>
              </w:rPr>
              <w:t>Prezes ULC przeprowadził 4 seminaria w tym przedmiocie z posiadaczami certyfikatów AOC i AWC, na których zapoznał się z opiniami branży, które stanowiły pomoc przy wypracowywaniu własnego stanowiska.</w:t>
            </w:r>
          </w:p>
          <w:p w:rsidR="00135501" w:rsidRPr="00B37C80" w:rsidRDefault="00135501" w:rsidP="00F41B81">
            <w:pPr>
              <w:spacing w:line="240" w:lineRule="auto"/>
              <w:jc w:val="both"/>
              <w:rPr>
                <w:rFonts w:ascii="Times New Roman" w:hAnsi="Times New Roman"/>
                <w:color w:val="000000"/>
                <w:spacing w:val="-2"/>
              </w:rPr>
            </w:pPr>
          </w:p>
        </w:tc>
      </w:tr>
      <w:tr w:rsidR="00135501" w:rsidRPr="008B4FE6" w:rsidTr="00676C8D">
        <w:trPr>
          <w:gridAfter w:val="1"/>
          <w:wAfter w:w="10" w:type="dxa"/>
          <w:trHeight w:val="363"/>
        </w:trPr>
        <w:tc>
          <w:tcPr>
            <w:tcW w:w="10937" w:type="dxa"/>
            <w:gridSpan w:val="29"/>
            <w:shd w:val="clear" w:color="auto" w:fill="99CCFF"/>
            <w:vAlign w:val="center"/>
          </w:tcPr>
          <w:p w:rsidR="00135501" w:rsidRPr="008B4FE6" w:rsidRDefault="00135501" w:rsidP="00F41B8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135501" w:rsidRPr="008B4FE6" w:rsidTr="00676C8D">
        <w:trPr>
          <w:gridAfter w:val="1"/>
          <w:wAfter w:w="10" w:type="dxa"/>
          <w:trHeight w:val="142"/>
        </w:trPr>
        <w:tc>
          <w:tcPr>
            <w:tcW w:w="3133" w:type="dxa"/>
            <w:gridSpan w:val="4"/>
            <w:vMerge w:val="restart"/>
            <w:shd w:val="clear" w:color="auto" w:fill="FFFFFF"/>
          </w:tcPr>
          <w:p w:rsidR="00135501" w:rsidRPr="00C53F26" w:rsidRDefault="00135501" w:rsidP="00F41B81">
            <w:pPr>
              <w:spacing w:before="40" w:after="40"/>
              <w:jc w:val="both"/>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2014</w:t>
            </w:r>
            <w:r w:rsidRPr="006F78C4">
              <w:rPr>
                <w:rFonts w:ascii="Times New Roman" w:hAnsi="Times New Roman"/>
                <w:color w:val="000000"/>
                <w:sz w:val="21"/>
                <w:szCs w:val="21"/>
              </w:rPr>
              <w:t xml:space="preserve"> r.)</w:t>
            </w:r>
          </w:p>
        </w:tc>
        <w:tc>
          <w:tcPr>
            <w:tcW w:w="7804" w:type="dxa"/>
            <w:gridSpan w:val="25"/>
            <w:shd w:val="clear" w:color="auto" w:fill="FFFFFF"/>
          </w:tcPr>
          <w:p w:rsidR="00135501" w:rsidRPr="00C53F26" w:rsidRDefault="00135501" w:rsidP="00F41B81">
            <w:pPr>
              <w:spacing w:before="40" w:after="40" w:line="240" w:lineRule="auto"/>
              <w:jc w:val="both"/>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135501" w:rsidRPr="008B4FE6" w:rsidTr="00676C8D">
        <w:trPr>
          <w:gridAfter w:val="1"/>
          <w:wAfter w:w="10" w:type="dxa"/>
          <w:trHeight w:val="142"/>
        </w:trPr>
        <w:tc>
          <w:tcPr>
            <w:tcW w:w="3133" w:type="dxa"/>
            <w:gridSpan w:val="4"/>
            <w:vMerge/>
            <w:shd w:val="clear" w:color="auto" w:fill="FFFFFF"/>
          </w:tcPr>
          <w:p w:rsidR="00135501" w:rsidRPr="00C53F26" w:rsidRDefault="00135501" w:rsidP="00F41B81">
            <w:pPr>
              <w:spacing w:before="40" w:after="40" w:line="240" w:lineRule="auto"/>
              <w:jc w:val="both"/>
              <w:rPr>
                <w:rFonts w:ascii="Times New Roman" w:hAnsi="Times New Roman"/>
                <w:i/>
                <w:color w:val="000000"/>
                <w:sz w:val="21"/>
                <w:szCs w:val="21"/>
              </w:rPr>
            </w:pPr>
          </w:p>
        </w:tc>
        <w:tc>
          <w:tcPr>
            <w:tcW w:w="569"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rsidR="00135501" w:rsidRPr="00C53F26" w:rsidRDefault="00135501" w:rsidP="00F41B81">
            <w:pPr>
              <w:spacing w:before="40" w:after="40" w:line="240" w:lineRule="auto"/>
              <w:jc w:val="both"/>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135501" w:rsidRPr="008B4FE6" w:rsidTr="00676C8D">
        <w:trPr>
          <w:trHeight w:val="321"/>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0,32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w:t>
            </w:r>
            <w:r>
              <w:rPr>
                <w:rFonts w:ascii="Times New Roman" w:hAnsi="Times New Roman"/>
                <w:color w:val="000000"/>
                <w:sz w:val="20"/>
                <w:szCs w:val="20"/>
              </w:rPr>
              <w:t>32</w:t>
            </w:r>
          </w:p>
        </w:tc>
        <w:tc>
          <w:tcPr>
            <w:tcW w:w="570"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0,24</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0,2</w:t>
            </w:r>
            <w:r>
              <w:rPr>
                <w:rFonts w:ascii="Times New Roman" w:hAnsi="Times New Roman"/>
                <w:color w:val="000000"/>
                <w:sz w:val="20"/>
                <w:szCs w:val="20"/>
              </w:rPr>
              <w:t>2</w:t>
            </w:r>
          </w:p>
        </w:tc>
        <w:tc>
          <w:tcPr>
            <w:tcW w:w="1547" w:type="dxa"/>
            <w:gridSpan w:val="3"/>
            <w:shd w:val="clear" w:color="auto" w:fill="FFFFFF"/>
          </w:tcPr>
          <w:p w:rsidR="00135501" w:rsidRPr="00FA4EE0" w:rsidRDefault="00135501" w:rsidP="00F41B81">
            <w:pPr>
              <w:spacing w:line="240" w:lineRule="auto"/>
              <w:jc w:val="both"/>
              <w:rPr>
                <w:rFonts w:ascii="Times New Roman" w:hAnsi="Times New Roman"/>
                <w:color w:val="000000"/>
                <w:spacing w:val="-2"/>
                <w:sz w:val="20"/>
                <w:szCs w:val="20"/>
              </w:rPr>
            </w:pPr>
            <w:r w:rsidRPr="00FA4EE0">
              <w:rPr>
                <w:rFonts w:ascii="Times New Roman" w:hAnsi="Times New Roman"/>
                <w:color w:val="000000"/>
                <w:spacing w:val="-2"/>
                <w:sz w:val="20"/>
                <w:szCs w:val="20"/>
              </w:rPr>
              <w:t>3,44</w:t>
            </w:r>
          </w:p>
        </w:tc>
      </w:tr>
      <w:tr w:rsidR="00135501" w:rsidRPr="008B4FE6" w:rsidTr="00676C8D">
        <w:trPr>
          <w:trHeight w:val="321"/>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0,32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w:t>
            </w:r>
            <w:r>
              <w:rPr>
                <w:rFonts w:ascii="Times New Roman" w:hAnsi="Times New Roman"/>
                <w:color w:val="000000"/>
                <w:sz w:val="20"/>
                <w:szCs w:val="20"/>
              </w:rPr>
              <w:t>32</w:t>
            </w:r>
          </w:p>
        </w:tc>
        <w:tc>
          <w:tcPr>
            <w:tcW w:w="570"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0,24</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0,2</w:t>
            </w:r>
            <w:r>
              <w:rPr>
                <w:rFonts w:ascii="Times New Roman" w:hAnsi="Times New Roman"/>
                <w:color w:val="000000"/>
                <w:sz w:val="20"/>
                <w:szCs w:val="20"/>
              </w:rPr>
              <w:t>2</w:t>
            </w:r>
          </w:p>
        </w:tc>
        <w:tc>
          <w:tcPr>
            <w:tcW w:w="1547" w:type="dxa"/>
            <w:gridSpan w:val="3"/>
            <w:shd w:val="clear" w:color="auto" w:fill="FFFFFF"/>
          </w:tcPr>
          <w:p w:rsidR="00135501" w:rsidRPr="00FA4EE0" w:rsidRDefault="00135501" w:rsidP="00F41B81">
            <w:pPr>
              <w:spacing w:line="240" w:lineRule="auto"/>
              <w:jc w:val="both"/>
              <w:rPr>
                <w:rFonts w:ascii="Times New Roman" w:hAnsi="Times New Roman"/>
                <w:color w:val="000000"/>
                <w:spacing w:val="-2"/>
                <w:sz w:val="20"/>
                <w:szCs w:val="20"/>
              </w:rPr>
            </w:pPr>
            <w:r w:rsidRPr="00FA4EE0">
              <w:rPr>
                <w:rFonts w:ascii="Times New Roman" w:hAnsi="Times New Roman"/>
                <w:color w:val="000000"/>
                <w:spacing w:val="-2"/>
                <w:sz w:val="20"/>
                <w:szCs w:val="20"/>
              </w:rPr>
              <w:t>3,44</w:t>
            </w:r>
          </w:p>
        </w:tc>
      </w:tr>
      <w:tr w:rsidR="00135501" w:rsidRPr="008B4FE6" w:rsidTr="00676C8D">
        <w:trPr>
          <w:trHeight w:val="344"/>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44"/>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30"/>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30"/>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51"/>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51"/>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60"/>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0,32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w:t>
            </w:r>
            <w:r>
              <w:rPr>
                <w:rFonts w:ascii="Times New Roman" w:hAnsi="Times New Roman"/>
                <w:color w:val="000000"/>
                <w:sz w:val="20"/>
                <w:szCs w:val="20"/>
              </w:rPr>
              <w:t>32</w:t>
            </w:r>
          </w:p>
        </w:tc>
        <w:tc>
          <w:tcPr>
            <w:tcW w:w="570"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0,24</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0,2</w:t>
            </w:r>
            <w:r>
              <w:rPr>
                <w:rFonts w:ascii="Times New Roman" w:hAnsi="Times New Roman"/>
                <w:color w:val="000000"/>
                <w:sz w:val="20"/>
                <w:szCs w:val="20"/>
              </w:rPr>
              <w:t>2</w:t>
            </w:r>
          </w:p>
        </w:tc>
        <w:tc>
          <w:tcPr>
            <w:tcW w:w="1547" w:type="dxa"/>
            <w:gridSpan w:val="3"/>
            <w:shd w:val="clear" w:color="auto" w:fill="FFFFFF"/>
          </w:tcPr>
          <w:p w:rsidR="00135501" w:rsidRPr="00FA4EE0" w:rsidRDefault="00135501" w:rsidP="00F41B81">
            <w:pPr>
              <w:spacing w:line="240" w:lineRule="auto"/>
              <w:jc w:val="both"/>
              <w:rPr>
                <w:rFonts w:ascii="Times New Roman" w:hAnsi="Times New Roman"/>
                <w:color w:val="000000"/>
                <w:spacing w:val="-2"/>
                <w:sz w:val="20"/>
                <w:szCs w:val="20"/>
              </w:rPr>
            </w:pPr>
            <w:r w:rsidRPr="00FA4EE0">
              <w:rPr>
                <w:rFonts w:ascii="Times New Roman" w:hAnsi="Times New Roman"/>
                <w:color w:val="000000"/>
                <w:spacing w:val="-2"/>
                <w:sz w:val="20"/>
                <w:szCs w:val="20"/>
              </w:rPr>
              <w:t>3,44</w:t>
            </w:r>
          </w:p>
        </w:tc>
      </w:tr>
      <w:tr w:rsidR="00135501" w:rsidRPr="008B4FE6" w:rsidTr="00676C8D">
        <w:trPr>
          <w:trHeight w:val="360"/>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0,47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0,37</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0,32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w:t>
            </w:r>
            <w:r>
              <w:rPr>
                <w:rFonts w:ascii="Times New Roman" w:hAnsi="Times New Roman"/>
                <w:color w:val="000000"/>
                <w:sz w:val="20"/>
                <w:szCs w:val="20"/>
              </w:rPr>
              <w:t>32</w:t>
            </w:r>
          </w:p>
        </w:tc>
        <w:tc>
          <w:tcPr>
            <w:tcW w:w="570"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0,24</w:t>
            </w:r>
          </w:p>
        </w:tc>
        <w:tc>
          <w:tcPr>
            <w:tcW w:w="569" w:type="dxa"/>
            <w:gridSpan w:val="3"/>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gridSpan w:val="2"/>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Pr>
                <w:rFonts w:ascii="Times New Roman" w:hAnsi="Times New Roman"/>
                <w:color w:val="000000"/>
                <w:sz w:val="20"/>
                <w:szCs w:val="20"/>
              </w:rPr>
              <w:t>0,22</w:t>
            </w:r>
          </w:p>
        </w:tc>
        <w:tc>
          <w:tcPr>
            <w:tcW w:w="570" w:type="dxa"/>
            <w:shd w:val="clear" w:color="auto" w:fill="FFFFFF"/>
          </w:tcPr>
          <w:p w:rsidR="00135501" w:rsidRPr="00FA4EE0" w:rsidRDefault="00135501" w:rsidP="00F41B81">
            <w:pPr>
              <w:spacing w:line="240" w:lineRule="auto"/>
              <w:jc w:val="both"/>
              <w:rPr>
                <w:rFonts w:ascii="Times New Roman" w:hAnsi="Times New Roman"/>
                <w:color w:val="000000"/>
                <w:sz w:val="20"/>
                <w:szCs w:val="20"/>
              </w:rPr>
            </w:pPr>
            <w:r w:rsidRPr="00FA4EE0">
              <w:rPr>
                <w:rFonts w:ascii="Times New Roman" w:hAnsi="Times New Roman"/>
                <w:color w:val="000000"/>
                <w:sz w:val="20"/>
                <w:szCs w:val="20"/>
              </w:rPr>
              <w:t>0,2</w:t>
            </w:r>
            <w:r>
              <w:rPr>
                <w:rFonts w:ascii="Times New Roman" w:hAnsi="Times New Roman"/>
                <w:color w:val="000000"/>
                <w:sz w:val="20"/>
                <w:szCs w:val="20"/>
              </w:rPr>
              <w:t>2</w:t>
            </w:r>
          </w:p>
        </w:tc>
        <w:tc>
          <w:tcPr>
            <w:tcW w:w="1547" w:type="dxa"/>
            <w:gridSpan w:val="3"/>
            <w:shd w:val="clear" w:color="auto" w:fill="FFFFFF"/>
          </w:tcPr>
          <w:p w:rsidR="00135501" w:rsidRPr="00FA4EE0" w:rsidRDefault="00135501" w:rsidP="00F41B81">
            <w:pPr>
              <w:spacing w:line="240" w:lineRule="auto"/>
              <w:jc w:val="both"/>
              <w:rPr>
                <w:rFonts w:ascii="Times New Roman" w:hAnsi="Times New Roman"/>
                <w:color w:val="000000"/>
                <w:spacing w:val="-2"/>
                <w:sz w:val="20"/>
                <w:szCs w:val="20"/>
              </w:rPr>
            </w:pPr>
            <w:r w:rsidRPr="00FA4EE0">
              <w:rPr>
                <w:rFonts w:ascii="Times New Roman" w:hAnsi="Times New Roman"/>
                <w:color w:val="000000"/>
                <w:spacing w:val="-2"/>
                <w:sz w:val="20"/>
                <w:szCs w:val="20"/>
              </w:rPr>
              <w:t>3,44</w:t>
            </w:r>
          </w:p>
        </w:tc>
      </w:tr>
      <w:tr w:rsidR="00135501" w:rsidRPr="008B4FE6" w:rsidTr="00676C8D">
        <w:trPr>
          <w:trHeight w:val="357"/>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trHeight w:val="357"/>
        </w:trPr>
        <w:tc>
          <w:tcPr>
            <w:tcW w:w="3133" w:type="dxa"/>
            <w:gridSpan w:val="4"/>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69"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570" w:type="dxa"/>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54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r>
      <w:tr w:rsidR="00135501" w:rsidRPr="008B4FE6" w:rsidTr="00676C8D">
        <w:trPr>
          <w:gridAfter w:val="1"/>
          <w:wAfter w:w="10" w:type="dxa"/>
          <w:trHeight w:val="348"/>
        </w:trPr>
        <w:tc>
          <w:tcPr>
            <w:tcW w:w="2243" w:type="dxa"/>
            <w:gridSpan w:val="2"/>
            <w:shd w:val="clear" w:color="auto" w:fill="FFFFFF"/>
            <w:vAlign w:val="center"/>
          </w:tcPr>
          <w:p w:rsidR="00135501" w:rsidRPr="00C53F26" w:rsidRDefault="00135501" w:rsidP="00F41B81">
            <w:pPr>
              <w:spacing w:line="240" w:lineRule="auto"/>
              <w:jc w:val="both"/>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rsidR="00135501" w:rsidRPr="00B37C80" w:rsidRDefault="00135501" w:rsidP="00F41B81">
            <w:pPr>
              <w:spacing w:line="240" w:lineRule="auto"/>
              <w:jc w:val="both"/>
              <w:rPr>
                <w:rFonts w:ascii="Times New Roman" w:hAnsi="Times New Roman"/>
                <w:color w:val="000000"/>
                <w:sz w:val="21"/>
                <w:szCs w:val="21"/>
              </w:rPr>
            </w:pPr>
          </w:p>
          <w:p w:rsidR="00135501" w:rsidRPr="00B37C80" w:rsidRDefault="00135501" w:rsidP="00F41B81">
            <w:pPr>
              <w:spacing w:line="240" w:lineRule="auto"/>
              <w:jc w:val="both"/>
              <w:rPr>
                <w:rFonts w:ascii="Times New Roman" w:hAnsi="Times New Roman"/>
                <w:color w:val="000000"/>
                <w:sz w:val="21"/>
                <w:szCs w:val="21"/>
              </w:rPr>
            </w:pPr>
          </w:p>
          <w:p w:rsidR="00135501" w:rsidRPr="00B37C80" w:rsidRDefault="00135501" w:rsidP="00F41B81">
            <w:pPr>
              <w:spacing w:line="240" w:lineRule="auto"/>
              <w:jc w:val="both"/>
              <w:rPr>
                <w:rFonts w:ascii="Times New Roman" w:hAnsi="Times New Roman"/>
                <w:color w:val="000000"/>
                <w:sz w:val="21"/>
                <w:szCs w:val="21"/>
              </w:rPr>
            </w:pPr>
          </w:p>
        </w:tc>
      </w:tr>
      <w:tr w:rsidR="00135501" w:rsidRPr="007C75A2" w:rsidTr="00676C8D">
        <w:trPr>
          <w:gridAfter w:val="1"/>
          <w:wAfter w:w="10" w:type="dxa"/>
          <w:trHeight w:val="1926"/>
        </w:trPr>
        <w:tc>
          <w:tcPr>
            <w:tcW w:w="2243" w:type="dxa"/>
            <w:gridSpan w:val="2"/>
            <w:shd w:val="clear" w:color="auto" w:fill="FFFFFF"/>
          </w:tcPr>
          <w:p w:rsidR="00135501" w:rsidRPr="00C53F26"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rsidR="00135501" w:rsidRPr="008D423F" w:rsidRDefault="00135501" w:rsidP="00F41B81">
            <w:pPr>
              <w:spacing w:line="240" w:lineRule="auto"/>
              <w:jc w:val="both"/>
              <w:rPr>
                <w:rFonts w:ascii="Times New Roman" w:hAnsi="Times New Roman"/>
              </w:rPr>
            </w:pPr>
            <w:r w:rsidRPr="008D423F">
              <w:rPr>
                <w:rFonts w:ascii="Times New Roman" w:hAnsi="Times New Roman"/>
              </w:rPr>
              <w:t>Wskazanie źródeł danych i przyjętych do obliczeń założeń:</w:t>
            </w:r>
          </w:p>
          <w:p w:rsidR="00135501" w:rsidRPr="008D423F" w:rsidRDefault="00135501" w:rsidP="00F41B81">
            <w:pPr>
              <w:spacing w:line="240" w:lineRule="auto"/>
              <w:jc w:val="both"/>
              <w:rPr>
                <w:rFonts w:ascii="Times New Roman" w:hAnsi="Times New Roman"/>
              </w:rPr>
            </w:pPr>
            <w:r w:rsidRPr="008D423F">
              <w:rPr>
                <w:rFonts w:ascii="Times New Roman" w:hAnsi="Times New Roman"/>
              </w:rPr>
              <w:t xml:space="preserve">Szacowania wpływów z kar finansowych oparto na podstawie danych historycznych z roku 2013. Analizę oparto na sprawozdaniu z przeprowadzonych czynności kontroli jakości w zakresie ochrony lotnictwa cywilnego w 2013 r. Z uwagi na fakt, iż w 2013 r. nałożono 5 kar na łączną kwotę 45.000 zł, przyjmując iż znowelizowany katalog w większości przypadków pięciokrotnie zwiększa kwotę kar oraz zakładając iż liczba kar zwiększy się do ok. 8 kar rocznie, zakłada się, że wpływy do budżetu państwa zwiększą się proporcjonalnie, jak wykazano powyżej w tabeli. Uwaga – analiza zawiera ceny stałe na styczeń 2014 r. Przyjęto także założenie, iż podmioty, mając świadomość wysokości kar oraz skuteczności ich </w:t>
            </w:r>
            <w:r w:rsidRPr="008D423F">
              <w:rPr>
                <w:rFonts w:ascii="Times New Roman" w:hAnsi="Times New Roman"/>
              </w:rPr>
              <w:lastRenderedPageBreak/>
              <w:t>egzekwowania, w późniejszych latach będą powodowały mniejszą liczbę naruszeń, co zmniejszy wynik finansowy po stronie ich kosztów oraz przychodów budżetu państwa.</w:t>
            </w:r>
          </w:p>
          <w:p w:rsidR="00135501" w:rsidRPr="008D423F" w:rsidRDefault="00135501" w:rsidP="00F41B81">
            <w:pPr>
              <w:spacing w:line="240" w:lineRule="auto"/>
              <w:jc w:val="both"/>
              <w:rPr>
                <w:rFonts w:ascii="Times New Roman" w:hAnsi="Times New Roman"/>
              </w:rPr>
            </w:pPr>
            <w:r w:rsidRPr="008D423F">
              <w:rPr>
                <w:rFonts w:ascii="Times New Roman" w:hAnsi="Times New Roman"/>
              </w:rPr>
              <w:t>Analizę kosztów i korzyści oparto na szacunkach teoretycznych, które wyznaczają poziom kosztów w obrębie administracji państwowej (ULC oraz SG) na poziomie około 10.000 złotych rocznie ( przy czym analiza zawiera ceny stałe na styczeń 2014 roku, przyjęto także założenie, iż w kolejnych latach liczba osób ubiegających się o wyznaczenie jako UPZ będzie utrzymywała się na stałym poziomie).</w:t>
            </w:r>
          </w:p>
          <w:p w:rsidR="00135501" w:rsidRPr="008D423F" w:rsidRDefault="00135501" w:rsidP="00F41B81">
            <w:pPr>
              <w:spacing w:line="240" w:lineRule="auto"/>
              <w:jc w:val="both"/>
              <w:rPr>
                <w:rFonts w:ascii="Times New Roman" w:hAnsi="Times New Roman"/>
              </w:rPr>
            </w:pPr>
            <w:r w:rsidRPr="008D423F">
              <w:rPr>
                <w:rFonts w:ascii="Times New Roman" w:hAnsi="Times New Roman"/>
              </w:rPr>
              <w:t>Analizę kosztów i korzyści oparto na szacunkach teoretycznych, które wyznaczają poziom kosztów w obrębie podmiotów ubiegających się o walidację dla lokalizacji jako ACC3 oraz RA3 (łącznie ok. 30), oraz niewielkie wpływy za wyznaczenie jako UPZ.</w:t>
            </w:r>
          </w:p>
          <w:p w:rsidR="00135501" w:rsidRPr="00891626" w:rsidRDefault="00135501" w:rsidP="00F41B81">
            <w:pPr>
              <w:spacing w:line="240" w:lineRule="auto"/>
              <w:jc w:val="both"/>
              <w:rPr>
                <w:rFonts w:ascii="Times New Roman" w:hAnsi="Times New Roman"/>
                <w:color w:val="000000"/>
                <w:sz w:val="21"/>
                <w:szCs w:val="21"/>
              </w:rPr>
            </w:pPr>
          </w:p>
          <w:p w:rsidR="00135501" w:rsidRPr="00891626" w:rsidRDefault="00135501" w:rsidP="00F41B81">
            <w:pPr>
              <w:spacing w:line="240" w:lineRule="auto"/>
              <w:jc w:val="both"/>
              <w:rPr>
                <w:rFonts w:ascii="Times New Roman" w:hAnsi="Times New Roman"/>
                <w:color w:val="000000"/>
                <w:sz w:val="21"/>
                <w:szCs w:val="21"/>
              </w:rPr>
            </w:pPr>
          </w:p>
        </w:tc>
      </w:tr>
      <w:tr w:rsidR="00135501" w:rsidRPr="008B4FE6" w:rsidTr="00676C8D">
        <w:trPr>
          <w:gridAfter w:val="1"/>
          <w:wAfter w:w="10" w:type="dxa"/>
          <w:trHeight w:val="345"/>
        </w:trPr>
        <w:tc>
          <w:tcPr>
            <w:tcW w:w="10937" w:type="dxa"/>
            <w:gridSpan w:val="29"/>
            <w:shd w:val="clear" w:color="auto" w:fill="99CCFF"/>
          </w:tcPr>
          <w:p w:rsidR="00135501" w:rsidRPr="008B4FE6" w:rsidRDefault="00135501" w:rsidP="00F41B81">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135501" w:rsidRPr="008B4FE6" w:rsidTr="00676C8D">
        <w:trPr>
          <w:gridAfter w:val="1"/>
          <w:wAfter w:w="10" w:type="dxa"/>
          <w:trHeight w:val="142"/>
        </w:trPr>
        <w:tc>
          <w:tcPr>
            <w:tcW w:w="10937" w:type="dxa"/>
            <w:gridSpan w:val="29"/>
            <w:shd w:val="clear" w:color="auto" w:fill="FFFFFF"/>
          </w:tcPr>
          <w:p w:rsidR="00135501" w:rsidRPr="00301959" w:rsidRDefault="00135501" w:rsidP="00F41B81">
            <w:pPr>
              <w:spacing w:line="240" w:lineRule="auto"/>
              <w:jc w:val="both"/>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135501" w:rsidRPr="008B4FE6" w:rsidTr="00676C8D">
        <w:trPr>
          <w:gridAfter w:val="1"/>
          <w:wAfter w:w="10" w:type="dxa"/>
          <w:trHeight w:val="142"/>
        </w:trPr>
        <w:tc>
          <w:tcPr>
            <w:tcW w:w="3889" w:type="dxa"/>
            <w:gridSpan w:val="7"/>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rsidR="00135501" w:rsidRPr="001B3460" w:rsidRDefault="00135501" w:rsidP="00F41B81">
            <w:pPr>
              <w:spacing w:line="240" w:lineRule="auto"/>
              <w:jc w:val="both"/>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135501" w:rsidRPr="008B4FE6" w:rsidTr="008A5095">
        <w:trPr>
          <w:gridAfter w:val="1"/>
          <w:wAfter w:w="10" w:type="dxa"/>
          <w:trHeight w:val="142"/>
        </w:trPr>
        <w:tc>
          <w:tcPr>
            <w:tcW w:w="1596" w:type="dxa"/>
            <w:vMerge w:val="restart"/>
            <w:shd w:val="clear" w:color="auto" w:fill="FFFFFF"/>
          </w:tcPr>
          <w:p w:rsidR="00135501" w:rsidRDefault="00135501" w:rsidP="00F41B81">
            <w:pPr>
              <w:jc w:val="both"/>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rsidR="00135501" w:rsidRDefault="00135501" w:rsidP="00F41B81">
            <w:pPr>
              <w:jc w:val="both"/>
              <w:rPr>
                <w:rFonts w:ascii="Times New Roman" w:hAnsi="Times New Roman"/>
                <w:spacing w:val="-2"/>
                <w:sz w:val="21"/>
                <w:szCs w:val="21"/>
              </w:rPr>
            </w:pPr>
            <w:r>
              <w:rPr>
                <w:rFonts w:ascii="Times New Roman" w:hAnsi="Times New Roman"/>
                <w:spacing w:val="-2"/>
                <w:sz w:val="21"/>
                <w:szCs w:val="21"/>
              </w:rPr>
              <w:t xml:space="preserve">(w mln zł, </w:t>
            </w:r>
          </w:p>
          <w:p w:rsidR="00135501" w:rsidRPr="00301959" w:rsidRDefault="00135501" w:rsidP="00F41B81">
            <w:pPr>
              <w:spacing w:line="240" w:lineRule="auto"/>
              <w:jc w:val="both"/>
              <w:rPr>
                <w:rFonts w:ascii="Times New Roman" w:hAnsi="Times New Roman"/>
                <w:color w:val="000000"/>
                <w:sz w:val="21"/>
                <w:szCs w:val="21"/>
              </w:rPr>
            </w:pPr>
            <w:r>
              <w:rPr>
                <w:rFonts w:ascii="Times New Roman" w:hAnsi="Times New Roman"/>
                <w:spacing w:val="-2"/>
                <w:sz w:val="21"/>
                <w:szCs w:val="21"/>
              </w:rPr>
              <w:t>ceny stałe z 2014 r.)</w:t>
            </w: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5"/>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4"/>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4"/>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422" w:type="dxa"/>
            <w:shd w:val="clear" w:color="auto" w:fill="FFFFFF"/>
          </w:tcPr>
          <w:p w:rsidR="00135501" w:rsidRPr="00B37C80" w:rsidRDefault="00135501" w:rsidP="00F41B81">
            <w:pPr>
              <w:spacing w:line="240" w:lineRule="auto"/>
              <w:jc w:val="both"/>
              <w:rPr>
                <w:rFonts w:ascii="Times New Roman" w:hAnsi="Times New Roman"/>
                <w:color w:val="000000"/>
                <w:spacing w:val="-2"/>
                <w:sz w:val="21"/>
                <w:szCs w:val="21"/>
              </w:rPr>
            </w:pPr>
          </w:p>
        </w:tc>
      </w:tr>
      <w:tr w:rsidR="00135501" w:rsidRPr="008B4FE6" w:rsidTr="008A5095">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5"/>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4"/>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4"/>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422" w:type="dxa"/>
            <w:shd w:val="clear" w:color="auto" w:fill="FFFFFF"/>
          </w:tcPr>
          <w:p w:rsidR="00135501" w:rsidRPr="00B37C80" w:rsidRDefault="00135501" w:rsidP="00F41B81">
            <w:pPr>
              <w:spacing w:line="240" w:lineRule="auto"/>
              <w:jc w:val="both"/>
              <w:rPr>
                <w:rFonts w:ascii="Times New Roman" w:hAnsi="Times New Roman"/>
                <w:color w:val="000000"/>
                <w:spacing w:val="-2"/>
                <w:sz w:val="21"/>
                <w:szCs w:val="21"/>
              </w:rPr>
            </w:pPr>
          </w:p>
        </w:tc>
      </w:tr>
      <w:tr w:rsidR="00135501" w:rsidRPr="008B4FE6" w:rsidTr="008A5095">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5"/>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4"/>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7"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4"/>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938" w:type="dxa"/>
            <w:gridSpan w:val="3"/>
            <w:shd w:val="clear" w:color="auto" w:fill="FFFFFF"/>
          </w:tcPr>
          <w:p w:rsidR="00135501" w:rsidRPr="00B37C80" w:rsidRDefault="00135501" w:rsidP="00F41B81">
            <w:pPr>
              <w:spacing w:line="240" w:lineRule="auto"/>
              <w:jc w:val="both"/>
              <w:rPr>
                <w:rFonts w:ascii="Times New Roman" w:hAnsi="Times New Roman"/>
                <w:color w:val="000000"/>
                <w:sz w:val="21"/>
                <w:szCs w:val="21"/>
              </w:rPr>
            </w:pPr>
          </w:p>
        </w:tc>
        <w:tc>
          <w:tcPr>
            <w:tcW w:w="1422" w:type="dxa"/>
            <w:shd w:val="clear" w:color="auto" w:fill="FFFFFF"/>
          </w:tcPr>
          <w:p w:rsidR="00135501" w:rsidRPr="00B37C80" w:rsidRDefault="00135501" w:rsidP="00F41B81">
            <w:pPr>
              <w:spacing w:line="240" w:lineRule="auto"/>
              <w:jc w:val="both"/>
              <w:rPr>
                <w:rFonts w:ascii="Times New Roman" w:hAnsi="Times New Roman"/>
                <w:color w:val="000000"/>
                <w:spacing w:val="-2"/>
                <w:sz w:val="21"/>
                <w:szCs w:val="21"/>
              </w:rPr>
            </w:pPr>
          </w:p>
        </w:tc>
      </w:tr>
      <w:tr w:rsidR="00135501" w:rsidRPr="008B4FE6" w:rsidTr="00676C8D">
        <w:trPr>
          <w:gridAfter w:val="1"/>
          <w:wAfter w:w="10" w:type="dxa"/>
          <w:trHeight w:val="142"/>
        </w:trPr>
        <w:tc>
          <w:tcPr>
            <w:tcW w:w="1596" w:type="dxa"/>
            <w:vMerge w:val="restart"/>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Operacje lotnicze:</w:t>
            </w:r>
          </w:p>
          <w:p w:rsidR="00135501" w:rsidRDefault="00135501" w:rsidP="00F41B81">
            <w:pPr>
              <w:spacing w:line="240" w:lineRule="auto"/>
              <w:jc w:val="both"/>
              <w:rPr>
                <w:rFonts w:ascii="Times New Roman" w:hAnsi="Times New Roman"/>
                <w:spacing w:val="-2"/>
              </w:rPr>
            </w:pPr>
            <w:r w:rsidRPr="008D423F">
              <w:rPr>
                <w:rFonts w:ascii="Times New Roman" w:hAnsi="Times New Roman"/>
                <w:spacing w:val="-2"/>
              </w:rPr>
              <w:t>Podwyższenie poziomu bezpieczeństwa w lotnictwie cywilnym oraz zwiększenie skuteczności systemu koordynacji rozkładów lotów.</w:t>
            </w:r>
          </w:p>
          <w:p w:rsidR="00135501" w:rsidRPr="00C6744A" w:rsidRDefault="00135501" w:rsidP="00F41B81">
            <w:pPr>
              <w:spacing w:line="240" w:lineRule="auto"/>
              <w:jc w:val="both"/>
              <w:rPr>
                <w:rFonts w:ascii="Times New Roman" w:hAnsi="Times New Roman"/>
                <w:spacing w:val="-2"/>
                <w:u w:val="single"/>
              </w:rPr>
            </w:pPr>
            <w:r w:rsidRPr="00C6744A">
              <w:rPr>
                <w:rFonts w:ascii="Times New Roman" w:hAnsi="Times New Roman"/>
                <w:spacing w:val="-2"/>
                <w:u w:val="single"/>
              </w:rPr>
              <w:t>Lotniska:</w:t>
            </w:r>
          </w:p>
          <w:p w:rsidR="00135501" w:rsidRPr="00D505C6" w:rsidRDefault="00135501" w:rsidP="00F41B81">
            <w:pPr>
              <w:spacing w:line="240" w:lineRule="auto"/>
              <w:jc w:val="both"/>
              <w:rPr>
                <w:rFonts w:ascii="Times New Roman" w:hAnsi="Times New Roman"/>
                <w:spacing w:val="-2"/>
              </w:rPr>
            </w:pPr>
            <w:r w:rsidRPr="00D505C6">
              <w:rPr>
                <w:rFonts w:ascii="Times New Roman" w:hAnsi="Times New Roman"/>
                <w:spacing w:val="-2"/>
              </w:rPr>
              <w:t>Zarządzający lotniskami uzyskają możliwość stałego monitorowania otoczenia lotniska oraz czynny udział w kształtowaniu polityki przestrzennej gmin dla terenów na których znajduje się lotnisko oraz wyznaczone są powierzchnie ograniczające przeszkody, dodatkowo będą sami udzielać odstępstw od wymogów dotyczących powierzchni ograniczających przeszkody dla obiektów stałych o charakterze czasowym lub ruchomych, co zapewni ich większy wpływ na kształtowanie ładu przestrzennego w okolicy lotniska (zgodnie z założeniami UE). Takie rozwiązania powinny przyczynić się do zwiększenia poziomu bezpieczeństwa w otoczeniu lotnisk.</w:t>
            </w:r>
          </w:p>
          <w:p w:rsidR="00135501" w:rsidRDefault="00135501" w:rsidP="00F41B81">
            <w:pPr>
              <w:spacing w:line="240" w:lineRule="auto"/>
              <w:jc w:val="both"/>
              <w:rPr>
                <w:rFonts w:ascii="Times New Roman" w:hAnsi="Times New Roman"/>
                <w:spacing w:val="-2"/>
              </w:rPr>
            </w:pPr>
            <w:r w:rsidRPr="00D505C6">
              <w:rPr>
                <w:rFonts w:ascii="Times New Roman" w:hAnsi="Times New Roman"/>
                <w:spacing w:val="-2"/>
              </w:rPr>
              <w:t>Dodatkowo umożliwienie uzyskania certyfikatu zgodnie z rozporządzeniem 139/2014 będzie wiązać się z możliwością zastosowania elastycznego podejścia do spełnienia wymagań określonych w podstawie certyfikacji (po spełnieniu warunków określonych w rozporządzeniu).</w:t>
            </w:r>
          </w:p>
          <w:p w:rsidR="00135501" w:rsidRPr="00B0652A" w:rsidRDefault="00135501" w:rsidP="00B0652A">
            <w:pPr>
              <w:spacing w:line="240" w:lineRule="auto"/>
              <w:jc w:val="both"/>
              <w:rPr>
                <w:rFonts w:ascii="Times New Roman" w:hAnsi="Times New Roman"/>
                <w:spacing w:val="-2"/>
                <w:u w:val="single"/>
              </w:rPr>
            </w:pPr>
            <w:r w:rsidRPr="00B0652A">
              <w:rPr>
                <w:rFonts w:ascii="Times New Roman" w:hAnsi="Times New Roman"/>
                <w:spacing w:val="-2"/>
                <w:u w:val="single"/>
              </w:rPr>
              <w:t>Żegluga powietrzna:</w:t>
            </w:r>
          </w:p>
          <w:p w:rsidR="00135501" w:rsidRPr="00B37C80" w:rsidRDefault="00135501" w:rsidP="00B0652A">
            <w:pPr>
              <w:spacing w:line="240" w:lineRule="auto"/>
              <w:jc w:val="both"/>
              <w:rPr>
                <w:rFonts w:ascii="Times New Roman" w:hAnsi="Times New Roman"/>
                <w:color w:val="000000"/>
                <w:spacing w:val="-2"/>
                <w:sz w:val="21"/>
                <w:szCs w:val="21"/>
              </w:rPr>
            </w:pPr>
            <w:r w:rsidRPr="00B0652A">
              <w:rPr>
                <w:rFonts w:ascii="Times New Roman" w:hAnsi="Times New Roman"/>
                <w:spacing w:val="-2"/>
              </w:rPr>
              <w:t>Instytucje zapewniające służby żeglugi powietrznej jako właściciele lotniczych urządzeń naziemnych uzyskają możliwość skutecznej ich ochrony co zapewni bezpieczne zapewnianie służb.</w:t>
            </w: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Operacje lotnicze:</w:t>
            </w:r>
          </w:p>
          <w:p w:rsidR="00135501" w:rsidRDefault="00135501" w:rsidP="00F41B81">
            <w:pPr>
              <w:spacing w:line="240" w:lineRule="auto"/>
              <w:jc w:val="both"/>
              <w:rPr>
                <w:rFonts w:ascii="Times New Roman" w:hAnsi="Times New Roman"/>
                <w:spacing w:val="-2"/>
              </w:rPr>
            </w:pPr>
            <w:r w:rsidRPr="008D423F">
              <w:rPr>
                <w:rFonts w:ascii="Times New Roman" w:hAnsi="Times New Roman"/>
                <w:spacing w:val="-2"/>
              </w:rPr>
              <w:t>Podwyższenie poziomu bezpieczeństwa w lotnictwie cywilnym oraz zwiększenie skuteczności systemu koordynacji rozkładów lotów.</w:t>
            </w:r>
          </w:p>
          <w:p w:rsidR="00135501" w:rsidRPr="00B37C80" w:rsidRDefault="00135501" w:rsidP="00F41B81">
            <w:pPr>
              <w:spacing w:line="240" w:lineRule="auto"/>
              <w:jc w:val="both"/>
              <w:rPr>
                <w:rFonts w:ascii="Times New Roman" w:hAnsi="Times New Roman"/>
                <w:color w:val="000000"/>
                <w:spacing w:val="-2"/>
                <w:sz w:val="21"/>
                <w:szCs w:val="21"/>
              </w:rPr>
            </w:pPr>
          </w:p>
        </w:tc>
      </w:tr>
      <w:tr w:rsidR="00135501" w:rsidRPr="008B4FE6" w:rsidTr="00676C8D">
        <w:trPr>
          <w:gridAfter w:val="1"/>
          <w:wAfter w:w="10" w:type="dxa"/>
          <w:trHeight w:val="596"/>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tabs>
                <w:tab w:val="right" w:pos="1936"/>
              </w:tabs>
              <w:spacing w:line="240" w:lineRule="auto"/>
              <w:jc w:val="both"/>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shd w:val="clear" w:color="auto" w:fill="FFFFFF"/>
          </w:tcPr>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Operacje lotnicze:</w:t>
            </w:r>
          </w:p>
          <w:p w:rsidR="00135501" w:rsidRDefault="00135501" w:rsidP="00F41B81">
            <w:pPr>
              <w:spacing w:line="240" w:lineRule="auto"/>
              <w:jc w:val="both"/>
              <w:rPr>
                <w:rFonts w:ascii="Times New Roman" w:hAnsi="Times New Roman"/>
                <w:spacing w:val="-2"/>
              </w:rPr>
            </w:pPr>
            <w:r w:rsidRPr="008D423F">
              <w:rPr>
                <w:rFonts w:ascii="Times New Roman" w:hAnsi="Times New Roman"/>
                <w:spacing w:val="-2"/>
              </w:rPr>
              <w:t>Podniesienie poziomu bezpieczeństwa pasażerów w transporcie lotniczym wpływające na ich większy komfort i zadowolenie. Przyczyni się to rozwoju transportu lotniczego w RP, gdyż będzie on częściej wybierany przez pasażerów jako spełniający wysokie standardy bezpieczeństwa, co gwarantuje Prezes ULC jako kompetentny organ nadzorujący lotnictwo cywilne.</w:t>
            </w:r>
          </w:p>
          <w:p w:rsidR="00135501" w:rsidRPr="00F22AEB" w:rsidRDefault="00135501" w:rsidP="00F41B81">
            <w:pPr>
              <w:spacing w:line="240" w:lineRule="auto"/>
              <w:jc w:val="both"/>
              <w:rPr>
                <w:rFonts w:ascii="Times New Roman" w:hAnsi="Times New Roman"/>
                <w:spacing w:val="-2"/>
                <w:u w:val="single"/>
              </w:rPr>
            </w:pPr>
            <w:r w:rsidRPr="00F22AEB">
              <w:rPr>
                <w:rFonts w:ascii="Times New Roman" w:hAnsi="Times New Roman"/>
                <w:spacing w:val="-2"/>
                <w:u w:val="single"/>
              </w:rPr>
              <w:t>Lotniska</w:t>
            </w:r>
          </w:p>
          <w:p w:rsidR="00135501" w:rsidRDefault="00135501" w:rsidP="00F41B81">
            <w:pPr>
              <w:spacing w:line="240" w:lineRule="auto"/>
              <w:jc w:val="both"/>
              <w:rPr>
                <w:rFonts w:ascii="Times New Roman" w:hAnsi="Times New Roman"/>
                <w:spacing w:val="-2"/>
              </w:rPr>
            </w:pPr>
            <w:r w:rsidRPr="00F22AEB">
              <w:rPr>
                <w:rFonts w:ascii="Times New Roman" w:hAnsi="Times New Roman"/>
                <w:spacing w:val="-2"/>
              </w:rPr>
              <w:t>Podniesienie poziomu bezpieczeństwa w związku ze spełnieniem wymagań określonych w rozporządzeniu 139/2014, oraz poszerzeniem zadań zarządzających lotniskami w zakresie czynnego udziału w kształtowaniu polityki przestrzennej gmin dla terenów, na których znajduje się lotnisko oraz wyznaczone są powierzchnie ograniczające przeszkody</w:t>
            </w:r>
            <w:r>
              <w:rPr>
                <w:rFonts w:ascii="Times New Roman" w:hAnsi="Times New Roman"/>
                <w:spacing w:val="-2"/>
              </w:rPr>
              <w:t>.</w:t>
            </w:r>
          </w:p>
          <w:p w:rsidR="00135501" w:rsidRPr="00B37C80" w:rsidRDefault="00135501" w:rsidP="00F41B81">
            <w:pPr>
              <w:spacing w:line="240" w:lineRule="auto"/>
              <w:jc w:val="both"/>
              <w:rPr>
                <w:rFonts w:ascii="Times New Roman" w:hAnsi="Times New Roman"/>
                <w:color w:val="000000"/>
                <w:spacing w:val="-2"/>
                <w:sz w:val="21"/>
                <w:szCs w:val="21"/>
              </w:rPr>
            </w:pPr>
            <w:r w:rsidRPr="008D423F">
              <w:rPr>
                <w:rFonts w:ascii="Times New Roman" w:hAnsi="Times New Roman"/>
                <w:spacing w:val="-2"/>
              </w:rPr>
              <w:t>Możliwe zwiększenie atrakcyjności portów regionalnych co może przyczynić się do zwiększenia mobilności obywateli RP.</w:t>
            </w:r>
          </w:p>
        </w:tc>
      </w:tr>
      <w:tr w:rsidR="00135501" w:rsidRPr="008B4FE6" w:rsidTr="00676C8D">
        <w:trPr>
          <w:gridAfter w:val="1"/>
          <w:wAfter w:w="10" w:type="dxa"/>
          <w:trHeight w:val="142"/>
        </w:trPr>
        <w:tc>
          <w:tcPr>
            <w:tcW w:w="1596" w:type="dxa"/>
            <w:vMerge w:val="restart"/>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lastRenderedPageBreak/>
              <w:t>Niemierzalne</w:t>
            </w:r>
          </w:p>
        </w:tc>
        <w:tc>
          <w:tcPr>
            <w:tcW w:w="2293" w:type="dxa"/>
            <w:gridSpan w:val="6"/>
            <w:shd w:val="clear" w:color="auto" w:fill="FFFFFF"/>
          </w:tcPr>
          <w:p w:rsidR="00164BDA" w:rsidRPr="00164BDA" w:rsidRDefault="00164BDA" w:rsidP="00164BDA">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Prezes Urzędu Lotnictwa Cywilnego/minister właściwy ds. transportu  </w:t>
            </w:r>
          </w:p>
        </w:tc>
        <w:tc>
          <w:tcPr>
            <w:tcW w:w="7048" w:type="dxa"/>
            <w:gridSpan w:val="22"/>
            <w:shd w:val="clear" w:color="auto" w:fill="FFFFFF"/>
          </w:tcPr>
          <w:p w:rsidR="00135501" w:rsidRPr="008D423F" w:rsidRDefault="00135501" w:rsidP="00F41B81">
            <w:pPr>
              <w:spacing w:line="240" w:lineRule="auto"/>
              <w:jc w:val="both"/>
              <w:rPr>
                <w:rFonts w:ascii="Times New Roman" w:hAnsi="Times New Roman"/>
                <w:spacing w:val="-2"/>
              </w:rPr>
            </w:pPr>
            <w:r>
              <w:rPr>
                <w:rFonts w:ascii="Times New Roman" w:hAnsi="Times New Roman"/>
                <w:spacing w:val="-2"/>
              </w:rPr>
              <w:t>Z</w:t>
            </w:r>
            <w:r w:rsidRPr="008D423F">
              <w:rPr>
                <w:rFonts w:ascii="Times New Roman" w:hAnsi="Times New Roman"/>
                <w:spacing w:val="-2"/>
              </w:rPr>
              <w:t>większenie zakresu zadań dla osób obecnie zatrudnionych w administracji publicznej (np. projektowane zmiany w zakresie personelu lotniczego</w:t>
            </w:r>
            <w:r>
              <w:rPr>
                <w:rFonts w:ascii="Times New Roman" w:hAnsi="Times New Roman"/>
                <w:spacing w:val="-2"/>
              </w:rPr>
              <w:t>, ochrony lotnictwa cywilnego i operacji lotniczych</w:t>
            </w:r>
            <w:r w:rsidRPr="008D423F">
              <w:rPr>
                <w:rFonts w:ascii="Times New Roman" w:hAnsi="Times New Roman"/>
                <w:spacing w:val="-2"/>
              </w:rPr>
              <w:t>) spowodują zwiększenie obowiązków ULC m.in. na skutek większej liczby licencji, o które kandydaci będą mogli się ubiegać</w:t>
            </w:r>
            <w:r>
              <w:rPr>
                <w:rFonts w:ascii="Times New Roman" w:hAnsi="Times New Roman"/>
                <w:spacing w:val="-2"/>
              </w:rPr>
              <w:t xml:space="preserve"> czy zatwierdzania zezwoleń.</w:t>
            </w:r>
          </w:p>
          <w:p w:rsidR="00135501" w:rsidRDefault="00135501" w:rsidP="00F41B81">
            <w:pPr>
              <w:spacing w:line="240" w:lineRule="auto"/>
              <w:jc w:val="both"/>
              <w:rPr>
                <w:rFonts w:ascii="Times New Roman" w:hAnsi="Times New Roman"/>
                <w:spacing w:val="-2"/>
              </w:rPr>
            </w:pPr>
            <w:r>
              <w:rPr>
                <w:rFonts w:ascii="Times New Roman" w:hAnsi="Times New Roman"/>
              </w:rPr>
              <w:t>Z</w:t>
            </w:r>
            <w:r w:rsidRPr="008D423F">
              <w:rPr>
                <w:rFonts w:ascii="Times New Roman" w:hAnsi="Times New Roman"/>
              </w:rPr>
              <w:t xml:space="preserve">większenie liczby podmiotów podlegających nadzorowi Prezesa ULC  podniesie koszty prowadzenia nadzoru, </w:t>
            </w:r>
            <w:r w:rsidRPr="008D423F">
              <w:rPr>
                <w:rFonts w:ascii="Times New Roman" w:hAnsi="Times New Roman"/>
                <w:spacing w:val="-2"/>
              </w:rPr>
              <w:t>zatwierdzanie UPZ oraz wizja lokalna spowodują koszty związane z nakładem pracy i zwiększeniem zakresu obowiązków w ULC oraz Komendzie Głównej SG.</w:t>
            </w:r>
          </w:p>
          <w:p w:rsidR="00135501" w:rsidRPr="00B37C80" w:rsidRDefault="00135501" w:rsidP="00F41B81">
            <w:pPr>
              <w:spacing w:line="240" w:lineRule="auto"/>
              <w:jc w:val="both"/>
              <w:rPr>
                <w:rFonts w:ascii="Times New Roman" w:hAnsi="Times New Roman"/>
                <w:color w:val="000000"/>
                <w:spacing w:val="-2"/>
                <w:sz w:val="21"/>
                <w:szCs w:val="21"/>
              </w:rPr>
            </w:pPr>
            <w:r w:rsidRPr="008D423F">
              <w:rPr>
                <w:rFonts w:ascii="Times New Roman" w:hAnsi="Times New Roman"/>
                <w:spacing w:val="-2"/>
              </w:rPr>
              <w:t>Możliwość bardziej skutecznego egzekwowania przepisów prawa UE.</w:t>
            </w: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64BDA" w:rsidRPr="00B0652A" w:rsidRDefault="00164BDA" w:rsidP="00F41B81">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Przewoźnicy lotniczy </w:t>
            </w:r>
          </w:p>
        </w:tc>
        <w:tc>
          <w:tcPr>
            <w:tcW w:w="7048" w:type="dxa"/>
            <w:gridSpan w:val="22"/>
            <w:shd w:val="clear" w:color="auto" w:fill="FFFFFF"/>
          </w:tcPr>
          <w:p w:rsidR="00135501" w:rsidRDefault="00135501" w:rsidP="00F41B81">
            <w:pPr>
              <w:spacing w:line="240" w:lineRule="auto"/>
              <w:jc w:val="both"/>
              <w:rPr>
                <w:rFonts w:ascii="Times New Roman" w:hAnsi="Times New Roman"/>
                <w:spacing w:val="-2"/>
              </w:rPr>
            </w:pPr>
            <w:r>
              <w:rPr>
                <w:rFonts w:ascii="Times New Roman" w:hAnsi="Times New Roman"/>
                <w:spacing w:val="-2"/>
              </w:rPr>
              <w:t>M</w:t>
            </w:r>
            <w:r w:rsidRPr="008D423F">
              <w:rPr>
                <w:rFonts w:ascii="Times New Roman" w:hAnsi="Times New Roman"/>
                <w:spacing w:val="-2"/>
              </w:rPr>
              <w:t>ożliwość nałożenia kar finansowych w przypadku naruszania przez przewoźnika przepisów dot. taryf przewozu lotniczego lub slotów</w:t>
            </w:r>
            <w:r>
              <w:rPr>
                <w:rFonts w:ascii="Times New Roman" w:hAnsi="Times New Roman"/>
                <w:spacing w:val="-2"/>
              </w:rPr>
              <w:t>.</w:t>
            </w:r>
          </w:p>
          <w:p w:rsidR="00135501" w:rsidRPr="00B37C80" w:rsidRDefault="00135501" w:rsidP="00F41B81">
            <w:pPr>
              <w:spacing w:line="240" w:lineRule="auto"/>
              <w:jc w:val="both"/>
              <w:rPr>
                <w:rFonts w:ascii="Times New Roman" w:hAnsi="Times New Roman"/>
                <w:color w:val="000000"/>
                <w:spacing w:val="-2"/>
                <w:sz w:val="21"/>
                <w:szCs w:val="21"/>
              </w:rPr>
            </w:pPr>
            <w:r w:rsidRPr="008D423F">
              <w:rPr>
                <w:rFonts w:ascii="Times New Roman" w:hAnsi="Times New Roman"/>
                <w:spacing w:val="-2"/>
              </w:rPr>
              <w:t>Usunięcie obowiązku ustanowienia przewoźnika lotniczego</w:t>
            </w:r>
            <w:r>
              <w:rPr>
                <w:rFonts w:ascii="Times New Roman" w:hAnsi="Times New Roman"/>
                <w:spacing w:val="-2"/>
              </w:rPr>
              <w:t xml:space="preserve"> z UE</w:t>
            </w:r>
            <w:r w:rsidRPr="008D423F">
              <w:rPr>
                <w:rFonts w:ascii="Times New Roman" w:hAnsi="Times New Roman"/>
                <w:spacing w:val="-2"/>
              </w:rPr>
              <w:t xml:space="preserve"> na terytorium RP spowoduje zniesienie obowiązku otwierania oddziału spółki zagranicznego przewoźnika lotniczego na terytorium RP</w:t>
            </w:r>
            <w:r>
              <w:rPr>
                <w:rFonts w:ascii="Times New Roman" w:hAnsi="Times New Roman"/>
                <w:spacing w:val="-2"/>
              </w:rPr>
              <w:t>.</w:t>
            </w: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Pr>
                <w:rFonts w:ascii="Times New Roman" w:hAnsi="Times New Roman"/>
              </w:rPr>
              <w:t>Zarządzający lotniskami</w:t>
            </w:r>
          </w:p>
        </w:tc>
        <w:tc>
          <w:tcPr>
            <w:tcW w:w="7048" w:type="dxa"/>
            <w:gridSpan w:val="22"/>
            <w:shd w:val="clear" w:color="auto" w:fill="FFFFFF"/>
          </w:tcPr>
          <w:p w:rsidR="00135501" w:rsidRPr="00702F61" w:rsidRDefault="00135501" w:rsidP="00F41B81">
            <w:pPr>
              <w:spacing w:line="240" w:lineRule="auto"/>
              <w:jc w:val="both"/>
              <w:rPr>
                <w:rFonts w:ascii="Times New Roman" w:hAnsi="Times New Roman"/>
                <w:spacing w:val="-2"/>
              </w:rPr>
            </w:pPr>
            <w:r w:rsidRPr="00702F61">
              <w:rPr>
                <w:rFonts w:ascii="Times New Roman" w:hAnsi="Times New Roman"/>
                <w:spacing w:val="-2"/>
              </w:rPr>
              <w:t>Obowiązek wydawania odstępstw od wymogów dotyczących powierzchni ograniczających przeszkody dla obiektów stałych o charakterze czasowym lub ruchomych może generować nieznaczne koszty po stronie zarządzającego, jednakże już obecnie uczestniczy on w procesie podejmowania decyzji dotyczącej przeszkód, więc dodatkowy ewentualny nakład pracy w tym zakresie będzie niewielki.</w:t>
            </w:r>
          </w:p>
          <w:p w:rsidR="00135501" w:rsidRPr="00B37C80" w:rsidRDefault="00135501" w:rsidP="00F41B81">
            <w:pPr>
              <w:spacing w:line="240" w:lineRule="auto"/>
              <w:jc w:val="both"/>
              <w:rPr>
                <w:rFonts w:ascii="Times New Roman" w:hAnsi="Times New Roman"/>
                <w:color w:val="000000"/>
                <w:spacing w:val="-2"/>
                <w:sz w:val="21"/>
                <w:szCs w:val="21"/>
              </w:rPr>
            </w:pPr>
            <w:r w:rsidRPr="00702F61">
              <w:rPr>
                <w:rFonts w:ascii="Times New Roman" w:hAnsi="Times New Roman"/>
                <w:spacing w:val="-2"/>
              </w:rPr>
              <w:t>Kwestie związane z wysokością odszkodowań będą zależne od zawartych umów między właścicielem drzewa a zarządzającym i wielkości zadrzewienia.</w:t>
            </w:r>
          </w:p>
        </w:tc>
      </w:tr>
      <w:tr w:rsidR="00135501" w:rsidRPr="008B4FE6" w:rsidTr="00702F61">
        <w:trPr>
          <w:gridAfter w:val="1"/>
          <w:wAfter w:w="10" w:type="dxa"/>
          <w:trHeight w:val="131"/>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8D423F">
              <w:rPr>
                <w:rFonts w:ascii="Times New Roman" w:hAnsi="Times New Roman"/>
              </w:rPr>
              <w:t>Budżet państwa</w:t>
            </w:r>
          </w:p>
        </w:tc>
        <w:tc>
          <w:tcPr>
            <w:tcW w:w="7048" w:type="dxa"/>
            <w:gridSpan w:val="22"/>
            <w:shd w:val="clear" w:color="auto" w:fill="FFFFFF"/>
          </w:tcPr>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Dostosowanie prawa krajowego do przepisów UE umożliwi uniknięcie/ograniczenie potencjalnych kar, jakie mogą zostać nałożone na Polskę za brak wdrożenia prawa UE w zakresie slotów i taryf.</w:t>
            </w:r>
          </w:p>
          <w:p w:rsidR="00135501" w:rsidRPr="00B37C80" w:rsidRDefault="00135501" w:rsidP="00F41B81">
            <w:pPr>
              <w:spacing w:line="240" w:lineRule="auto"/>
              <w:jc w:val="both"/>
              <w:rPr>
                <w:rFonts w:ascii="Times New Roman" w:hAnsi="Times New Roman"/>
                <w:color w:val="000000"/>
                <w:spacing w:val="-2"/>
                <w:sz w:val="21"/>
                <w:szCs w:val="21"/>
              </w:rPr>
            </w:pP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Pr>
                <w:rFonts w:ascii="Times New Roman" w:hAnsi="Times New Roman"/>
              </w:rPr>
              <w:t>A</w:t>
            </w:r>
            <w:r w:rsidRPr="008D423F">
              <w:rPr>
                <w:rFonts w:ascii="Times New Roman" w:hAnsi="Times New Roman"/>
              </w:rPr>
              <w:t>dministracja publiczna</w:t>
            </w:r>
          </w:p>
        </w:tc>
        <w:tc>
          <w:tcPr>
            <w:tcW w:w="7048" w:type="dxa"/>
            <w:gridSpan w:val="22"/>
            <w:shd w:val="clear" w:color="auto" w:fill="FFFFFF"/>
          </w:tcPr>
          <w:p w:rsidR="00135501" w:rsidRPr="00B37C80" w:rsidRDefault="00135501" w:rsidP="00F41B81">
            <w:pPr>
              <w:spacing w:line="240" w:lineRule="auto"/>
              <w:jc w:val="both"/>
              <w:rPr>
                <w:rFonts w:ascii="Times New Roman" w:hAnsi="Times New Roman"/>
                <w:color w:val="000000"/>
                <w:spacing w:val="-2"/>
                <w:sz w:val="21"/>
                <w:szCs w:val="21"/>
              </w:rPr>
            </w:pPr>
            <w:r w:rsidRPr="008D423F">
              <w:rPr>
                <w:rFonts w:ascii="Times New Roman" w:hAnsi="Times New Roman"/>
                <w:spacing w:val="-2"/>
              </w:rPr>
              <w:t>Nowe rozwiązania ze względu na ich transparentność spowodują polepszenie wizerunku administracji publicznej i prawodawstwa</w:t>
            </w: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8D423F">
              <w:rPr>
                <w:rFonts w:ascii="Times New Roman" w:hAnsi="Times New Roman"/>
              </w:rPr>
              <w:t>Instytucje zapewniające służby żeglugi powietrznej</w:t>
            </w:r>
          </w:p>
        </w:tc>
        <w:tc>
          <w:tcPr>
            <w:tcW w:w="7048" w:type="dxa"/>
            <w:gridSpan w:val="22"/>
            <w:shd w:val="clear" w:color="auto" w:fill="FFFFFF"/>
          </w:tcPr>
          <w:p w:rsidR="00135501" w:rsidRPr="00B37C80" w:rsidRDefault="00135501" w:rsidP="00F41B81">
            <w:pPr>
              <w:spacing w:line="240" w:lineRule="auto"/>
              <w:jc w:val="both"/>
              <w:rPr>
                <w:rFonts w:ascii="Times New Roman" w:hAnsi="Times New Roman"/>
                <w:color w:val="000000"/>
                <w:spacing w:val="-2"/>
                <w:sz w:val="21"/>
                <w:szCs w:val="21"/>
              </w:rPr>
            </w:pPr>
            <w:r w:rsidRPr="008D423F">
              <w:rPr>
                <w:rFonts w:ascii="Times New Roman" w:hAnsi="Times New Roman"/>
                <w:spacing w:val="-2"/>
              </w:rPr>
              <w:t>Umożliwienie instytucjom zapewniającym służby żeglugi powietrznej osiągania przychodów z działalności w zakresie zapewniania terminalowych służb żeglugi powietrznej oraz ponoszenie kosztów z tym związanych adekwatnych do wielkości lotniska.</w:t>
            </w: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8D423F">
              <w:rPr>
                <w:rFonts w:ascii="Times New Roman" w:hAnsi="Times New Roman"/>
              </w:rPr>
              <w:t>Jednostki samorządu terytorialnego</w:t>
            </w:r>
          </w:p>
        </w:tc>
        <w:tc>
          <w:tcPr>
            <w:tcW w:w="7048" w:type="dxa"/>
            <w:gridSpan w:val="22"/>
            <w:shd w:val="clear" w:color="auto" w:fill="FFFFFF"/>
          </w:tcPr>
          <w:p w:rsidR="00135501" w:rsidRPr="00B37C80" w:rsidRDefault="00135501" w:rsidP="00F41B81">
            <w:pPr>
              <w:spacing w:line="240" w:lineRule="auto"/>
              <w:jc w:val="both"/>
              <w:rPr>
                <w:rFonts w:ascii="Times New Roman" w:hAnsi="Times New Roman"/>
                <w:color w:val="000000"/>
                <w:spacing w:val="-2"/>
                <w:sz w:val="21"/>
                <w:szCs w:val="21"/>
              </w:rPr>
            </w:pPr>
            <w:r w:rsidRPr="008D423F">
              <w:rPr>
                <w:rFonts w:ascii="Times New Roman" w:hAnsi="Times New Roman"/>
                <w:spacing w:val="-2"/>
              </w:rPr>
              <w:t>Możliwy wpływ na rozwój regionu poprzez potencjalne zwiększenie atrakcyjności mniejszych/regionalnych portów lotniczych.</w:t>
            </w:r>
          </w:p>
        </w:tc>
      </w:tr>
      <w:tr w:rsidR="00135501" w:rsidRPr="008B4FE6" w:rsidTr="00676C8D">
        <w:trPr>
          <w:gridAfter w:val="1"/>
          <w:wAfter w:w="10" w:type="dxa"/>
          <w:trHeight w:val="142"/>
        </w:trPr>
        <w:tc>
          <w:tcPr>
            <w:tcW w:w="1596" w:type="dxa"/>
            <w:vMerge/>
            <w:shd w:val="clear" w:color="auto" w:fill="FFFFFF"/>
          </w:tcPr>
          <w:p w:rsidR="00135501" w:rsidRPr="00301959" w:rsidRDefault="00135501" w:rsidP="00F41B81">
            <w:pPr>
              <w:spacing w:line="240" w:lineRule="auto"/>
              <w:jc w:val="both"/>
              <w:rPr>
                <w:rFonts w:ascii="Times New Roman" w:hAnsi="Times New Roman"/>
                <w:color w:val="000000"/>
                <w:sz w:val="21"/>
                <w:szCs w:val="21"/>
              </w:rPr>
            </w:pPr>
          </w:p>
        </w:tc>
        <w:tc>
          <w:tcPr>
            <w:tcW w:w="2293" w:type="dxa"/>
            <w:gridSpan w:val="6"/>
            <w:shd w:val="clear" w:color="auto" w:fill="FFFFFF"/>
          </w:tcPr>
          <w:p w:rsidR="00135501" w:rsidRPr="00301959" w:rsidRDefault="000C2E0A" w:rsidP="00F41B81">
            <w:pPr>
              <w:spacing w:line="240" w:lineRule="auto"/>
              <w:jc w:val="both"/>
              <w:rPr>
                <w:rFonts w:ascii="Times New Roman" w:hAnsi="Times New Roman"/>
                <w:color w:val="000000"/>
                <w:sz w:val="21"/>
                <w:szCs w:val="21"/>
              </w:rPr>
            </w:pPr>
            <w:r>
              <w:rPr>
                <w:rFonts w:ascii="Times New Roman" w:hAnsi="Times New Roman"/>
                <w:color w:val="000000"/>
                <w:sz w:val="21"/>
                <w:szCs w:val="21"/>
              </w:rPr>
              <w:t>Polska Agencja Żeglugi Powietrznej</w:t>
            </w:r>
          </w:p>
        </w:tc>
        <w:tc>
          <w:tcPr>
            <w:tcW w:w="7048" w:type="dxa"/>
            <w:gridSpan w:val="22"/>
            <w:shd w:val="clear" w:color="auto" w:fill="FFFFFF"/>
          </w:tcPr>
          <w:p w:rsidR="00135501" w:rsidRPr="00B37C80" w:rsidRDefault="000C2E0A" w:rsidP="00F41B81">
            <w:pPr>
              <w:spacing w:line="240" w:lineRule="auto"/>
              <w:jc w:val="both"/>
              <w:rPr>
                <w:rFonts w:ascii="Times New Roman" w:hAnsi="Times New Roman"/>
                <w:color w:val="000000"/>
                <w:spacing w:val="-2"/>
                <w:sz w:val="21"/>
                <w:szCs w:val="21"/>
              </w:rPr>
            </w:pPr>
            <w:r w:rsidRPr="000C2E0A">
              <w:rPr>
                <w:rFonts w:ascii="Times New Roman" w:hAnsi="Times New Roman"/>
                <w:color w:val="000000"/>
                <w:spacing w:val="-2"/>
                <w:sz w:val="21"/>
                <w:szCs w:val="21"/>
              </w:rPr>
              <w:t xml:space="preserve">Konieczność wypłaty ewentualnych odszkodowań lub wykupu nieruchomości, jeżeli, w związku z uchwaleniem planu miejscowego albo jego zmianą, w którym uwzględniono powierzchnie ograniczające zabudowę, dla terenu na którym znajduje się lotnicze urządzenie naziemne, korzystanie z nieruchomości lub jej części w dotychczasowy sposób lub zgodny z dotychczasowym przeznaczeniem stało się niemożliwe bądź istotnie ograniczone.  </w:t>
            </w:r>
          </w:p>
        </w:tc>
      </w:tr>
      <w:tr w:rsidR="00135501" w:rsidRPr="001C5924" w:rsidTr="00676C8D">
        <w:trPr>
          <w:gridAfter w:val="1"/>
          <w:wAfter w:w="10" w:type="dxa"/>
          <w:trHeight w:val="1643"/>
        </w:trPr>
        <w:tc>
          <w:tcPr>
            <w:tcW w:w="2243" w:type="dxa"/>
            <w:gridSpan w:val="2"/>
            <w:shd w:val="clear" w:color="auto" w:fill="FFFFFF"/>
          </w:tcPr>
          <w:p w:rsidR="00135501" w:rsidRPr="00301959" w:rsidRDefault="00135501" w:rsidP="00F41B81">
            <w:pPr>
              <w:spacing w:line="240" w:lineRule="auto"/>
              <w:jc w:val="both"/>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694" w:type="dxa"/>
            <w:gridSpan w:val="27"/>
            <w:shd w:val="clear" w:color="auto" w:fill="FFFFFF"/>
            <w:vAlign w:val="center"/>
          </w:tcPr>
          <w:p w:rsidR="00135501" w:rsidRPr="00B67912" w:rsidRDefault="00135501" w:rsidP="00F41B81">
            <w:pPr>
              <w:spacing w:line="240" w:lineRule="auto"/>
              <w:jc w:val="both"/>
              <w:rPr>
                <w:rFonts w:ascii="Times New Roman" w:hAnsi="Times New Roman"/>
                <w:color w:val="000000"/>
                <w:sz w:val="21"/>
                <w:szCs w:val="21"/>
              </w:rPr>
            </w:pPr>
          </w:p>
          <w:p w:rsidR="00135501" w:rsidRPr="00B67912" w:rsidRDefault="00135501" w:rsidP="00F41B81">
            <w:pPr>
              <w:spacing w:line="240" w:lineRule="auto"/>
              <w:jc w:val="both"/>
              <w:rPr>
                <w:rFonts w:ascii="Times New Roman" w:hAnsi="Times New Roman"/>
                <w:color w:val="000000"/>
                <w:sz w:val="21"/>
                <w:szCs w:val="21"/>
              </w:rPr>
            </w:pPr>
          </w:p>
          <w:p w:rsidR="00135501" w:rsidRPr="00B67912" w:rsidRDefault="00135501" w:rsidP="00F41B81">
            <w:pPr>
              <w:spacing w:line="240" w:lineRule="auto"/>
              <w:jc w:val="both"/>
              <w:rPr>
                <w:rFonts w:ascii="Times New Roman" w:hAnsi="Times New Roman"/>
                <w:color w:val="000000"/>
                <w:sz w:val="21"/>
                <w:szCs w:val="21"/>
              </w:rPr>
            </w:pPr>
          </w:p>
          <w:p w:rsidR="00135501" w:rsidRPr="00B67912" w:rsidRDefault="00135501" w:rsidP="00F41B81">
            <w:pPr>
              <w:spacing w:line="240" w:lineRule="auto"/>
              <w:jc w:val="both"/>
              <w:rPr>
                <w:rFonts w:ascii="Times New Roman" w:hAnsi="Times New Roman"/>
                <w:color w:val="000000"/>
                <w:sz w:val="21"/>
                <w:szCs w:val="21"/>
              </w:rPr>
            </w:pPr>
          </w:p>
          <w:p w:rsidR="00135501" w:rsidRPr="00B67912" w:rsidRDefault="00135501" w:rsidP="00F41B81">
            <w:pPr>
              <w:spacing w:line="240" w:lineRule="auto"/>
              <w:jc w:val="both"/>
              <w:rPr>
                <w:rFonts w:ascii="Times New Roman" w:hAnsi="Times New Roman"/>
                <w:color w:val="000000"/>
                <w:sz w:val="21"/>
                <w:szCs w:val="21"/>
              </w:rPr>
            </w:pPr>
          </w:p>
        </w:tc>
      </w:tr>
      <w:tr w:rsidR="00135501" w:rsidRPr="008B4FE6" w:rsidTr="00676C8D">
        <w:trPr>
          <w:gridAfter w:val="1"/>
          <w:wAfter w:w="10" w:type="dxa"/>
          <w:trHeight w:val="342"/>
        </w:trPr>
        <w:tc>
          <w:tcPr>
            <w:tcW w:w="10937" w:type="dxa"/>
            <w:gridSpan w:val="29"/>
            <w:shd w:val="clear" w:color="auto" w:fill="99CCFF"/>
            <w:vAlign w:val="center"/>
          </w:tcPr>
          <w:p w:rsidR="00135501" w:rsidRPr="008B4FE6" w:rsidRDefault="00135501" w:rsidP="00F41B81">
            <w:pPr>
              <w:numPr>
                <w:ilvl w:val="0"/>
                <w:numId w:val="3"/>
              </w:numPr>
              <w:spacing w:before="60" w:after="60" w:line="240" w:lineRule="auto"/>
              <w:ind w:left="318" w:hanging="284"/>
              <w:jc w:val="both"/>
              <w:rPr>
                <w:rFonts w:ascii="Times New Roman" w:hAnsi="Times New Roman"/>
                <w:b/>
                <w:color w:val="000000"/>
              </w:rPr>
            </w:pPr>
            <w:r w:rsidRPr="00B67912">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135501" w:rsidRPr="008B4FE6" w:rsidTr="00676C8D">
        <w:trPr>
          <w:gridAfter w:val="1"/>
          <w:wAfter w:w="10" w:type="dxa"/>
          <w:trHeight w:val="151"/>
        </w:trPr>
        <w:tc>
          <w:tcPr>
            <w:tcW w:w="10937" w:type="dxa"/>
            <w:gridSpan w:val="29"/>
            <w:shd w:val="clear" w:color="auto" w:fill="FFFFFF"/>
          </w:tcPr>
          <w:p w:rsidR="00135501" w:rsidRPr="008B4FE6" w:rsidRDefault="00EE1C80" w:rsidP="00F41B81">
            <w:pPr>
              <w:spacing w:line="240" w:lineRule="auto"/>
              <w:jc w:val="both"/>
              <w:rPr>
                <w:rFonts w:ascii="Times New Roman" w:hAnsi="Times New Roman"/>
                <w:color w:val="000000"/>
              </w:rPr>
            </w:pPr>
            <w:r w:rsidRPr="001A5FDA">
              <w:rPr>
                <w:rFonts w:ascii="Times New Roman" w:hAnsi="Times New Roman"/>
                <w:color w:val="000000"/>
              </w:rPr>
              <w:fldChar w:fldCharType="begin">
                <w:ffData>
                  <w:name w:val=""/>
                  <w:enabled/>
                  <w:calcOnExit w:val="0"/>
                  <w:checkBox>
                    <w:sizeAuto/>
                    <w:default w:val="0"/>
                  </w:checkBox>
                </w:ffData>
              </w:fldChar>
            </w:r>
            <w:r w:rsidR="00135501" w:rsidRPr="001A5FDA">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1A5FDA">
              <w:rPr>
                <w:rFonts w:ascii="Times New Roman" w:hAnsi="Times New Roman"/>
                <w:color w:val="000000"/>
              </w:rPr>
              <w:fldChar w:fldCharType="end"/>
            </w:r>
            <w:r w:rsidR="00135501" w:rsidRPr="001A5FDA">
              <w:rPr>
                <w:rFonts w:ascii="Times New Roman" w:hAnsi="Times New Roman"/>
                <w:color w:val="000000"/>
              </w:rPr>
              <w:t xml:space="preserve"> </w:t>
            </w:r>
            <w:r w:rsidR="00135501" w:rsidRPr="001A5FDA">
              <w:rPr>
                <w:rFonts w:ascii="Times New Roman" w:hAnsi="Times New Roman"/>
                <w:color w:val="000000"/>
                <w:spacing w:val="-2"/>
              </w:rPr>
              <w:t>nie dotyczy</w:t>
            </w:r>
          </w:p>
        </w:tc>
      </w:tr>
      <w:tr w:rsidR="00135501" w:rsidRPr="008B4FE6" w:rsidTr="00676C8D">
        <w:trPr>
          <w:gridAfter w:val="1"/>
          <w:wAfter w:w="10" w:type="dxa"/>
          <w:trHeight w:val="946"/>
        </w:trPr>
        <w:tc>
          <w:tcPr>
            <w:tcW w:w="5111" w:type="dxa"/>
            <w:gridSpan w:val="12"/>
            <w:shd w:val="clear" w:color="auto" w:fill="FFFFFF"/>
          </w:tcPr>
          <w:p w:rsidR="00135501" w:rsidRDefault="00135501" w:rsidP="00F41B81">
            <w:pPr>
              <w:jc w:val="both"/>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rsidR="00135501" w:rsidRDefault="00EE1C80" w:rsidP="00F41B81">
            <w:pPr>
              <w:spacing w:line="240" w:lineRule="auto"/>
              <w:jc w:val="both"/>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Pr>
                <w:rFonts w:ascii="Times New Roman" w:hAnsi="Times New Roman"/>
                <w:color w:val="000000"/>
              </w:rPr>
              <w:t xml:space="preserve"> tak</w:t>
            </w:r>
          </w:p>
          <w:p w:rsidR="00135501" w:rsidRDefault="00EE1C80" w:rsidP="00F41B81">
            <w:pPr>
              <w:spacing w:line="240" w:lineRule="auto"/>
              <w:jc w:val="both"/>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Pr>
                <w:rFonts w:ascii="Times New Roman" w:hAnsi="Times New Roman"/>
                <w:color w:val="000000"/>
              </w:rPr>
              <w:t xml:space="preserve"> nie</w:t>
            </w:r>
          </w:p>
          <w:p w:rsidR="00135501" w:rsidRDefault="00EE1C80" w:rsidP="00F41B81">
            <w:pPr>
              <w:jc w:val="both"/>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Pr>
                <w:rFonts w:ascii="Times New Roman" w:hAnsi="Times New Roman"/>
                <w:color w:val="000000"/>
              </w:rPr>
              <w:t xml:space="preserve"> nie dotyczy</w:t>
            </w:r>
          </w:p>
        </w:tc>
      </w:tr>
      <w:tr w:rsidR="00135501" w:rsidRPr="008B4FE6" w:rsidTr="00676C8D">
        <w:trPr>
          <w:gridAfter w:val="1"/>
          <w:wAfter w:w="10" w:type="dxa"/>
          <w:trHeight w:val="1245"/>
        </w:trPr>
        <w:tc>
          <w:tcPr>
            <w:tcW w:w="5111" w:type="dxa"/>
            <w:gridSpan w:val="12"/>
            <w:shd w:val="clear" w:color="auto" w:fill="FFFFFF"/>
          </w:tcPr>
          <w:p w:rsidR="00135501" w:rsidRPr="008B4FE6" w:rsidRDefault="00EE1C80" w:rsidP="00F41B81">
            <w:pPr>
              <w:spacing w:line="240" w:lineRule="auto"/>
              <w:jc w:val="both"/>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zmniejszenie liczby dokumentów</w:t>
            </w:r>
            <w:r w:rsidR="00135501">
              <w:rPr>
                <w:rFonts w:ascii="Times New Roman" w:hAnsi="Times New Roman"/>
                <w:color w:val="000000"/>
                <w:spacing w:val="-2"/>
              </w:rPr>
              <w:t xml:space="preserve"> </w:t>
            </w:r>
          </w:p>
          <w:p w:rsidR="00135501" w:rsidRPr="008B4FE6" w:rsidRDefault="00EE1C80" w:rsidP="00F41B81">
            <w:pPr>
              <w:spacing w:line="240" w:lineRule="auto"/>
              <w:jc w:val="both"/>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zmniejszenie liczby procedur</w:t>
            </w:r>
          </w:p>
          <w:p w:rsidR="00135501" w:rsidRDefault="00EE1C80" w:rsidP="00F41B81">
            <w:pPr>
              <w:spacing w:line="240" w:lineRule="auto"/>
              <w:jc w:val="both"/>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skrócenie czasu</w:t>
            </w:r>
            <w:r w:rsidR="00135501">
              <w:rPr>
                <w:rFonts w:ascii="Times New Roman" w:hAnsi="Times New Roman"/>
                <w:color w:val="000000"/>
                <w:spacing w:val="-2"/>
              </w:rPr>
              <w:t xml:space="preserve"> na załatwienie sprawy</w:t>
            </w:r>
          </w:p>
          <w:p w:rsidR="00135501" w:rsidRPr="008B4FE6" w:rsidRDefault="00EE1C80" w:rsidP="00F41B81">
            <w:pPr>
              <w:jc w:val="both"/>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inne:</w:t>
            </w:r>
            <w:r w:rsidR="00135501"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35501"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rsidR="00135501" w:rsidRPr="008B4FE6" w:rsidRDefault="00EE1C80" w:rsidP="00F41B81">
            <w:pPr>
              <w:spacing w:line="240" w:lineRule="auto"/>
              <w:jc w:val="both"/>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zwiększenie liczby dokumentów</w:t>
            </w:r>
          </w:p>
          <w:p w:rsidR="00135501" w:rsidRPr="008B4FE6" w:rsidRDefault="00EE1C80" w:rsidP="00F41B81">
            <w:pPr>
              <w:spacing w:line="240" w:lineRule="auto"/>
              <w:jc w:val="both"/>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zwiększenie liczby procedur</w:t>
            </w:r>
          </w:p>
          <w:p w:rsidR="00135501" w:rsidRPr="008B4FE6" w:rsidRDefault="00EE1C80" w:rsidP="00F41B81">
            <w:pPr>
              <w:spacing w:line="240" w:lineRule="auto"/>
              <w:jc w:val="both"/>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wydłużenie czasu</w:t>
            </w:r>
            <w:r w:rsidR="00135501">
              <w:rPr>
                <w:rFonts w:ascii="Times New Roman" w:hAnsi="Times New Roman"/>
                <w:color w:val="000000"/>
                <w:spacing w:val="-2"/>
              </w:rPr>
              <w:t xml:space="preserve"> na załatwienie sprawy</w:t>
            </w:r>
          </w:p>
          <w:p w:rsidR="00135501" w:rsidRPr="008B4FE6" w:rsidRDefault="00EE1C80" w:rsidP="00F41B81">
            <w:pPr>
              <w:spacing w:line="240" w:lineRule="auto"/>
              <w:jc w:val="both"/>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inne:</w:t>
            </w:r>
            <w:r w:rsidR="00135501"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35501"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Pr="008B4FE6">
              <w:rPr>
                <w:rFonts w:ascii="Times New Roman" w:hAnsi="Times New Roman"/>
                <w:color w:val="000000"/>
              </w:rPr>
              <w:fldChar w:fldCharType="end"/>
            </w:r>
          </w:p>
          <w:p w:rsidR="00135501" w:rsidRPr="008B4FE6" w:rsidRDefault="00135501" w:rsidP="00F41B81">
            <w:pPr>
              <w:spacing w:line="240" w:lineRule="auto"/>
              <w:jc w:val="both"/>
              <w:rPr>
                <w:rFonts w:ascii="Times New Roman" w:hAnsi="Times New Roman"/>
                <w:color w:val="000000"/>
              </w:rPr>
            </w:pPr>
          </w:p>
        </w:tc>
      </w:tr>
      <w:tr w:rsidR="00135501" w:rsidRPr="008B4FE6" w:rsidTr="00676C8D">
        <w:trPr>
          <w:gridAfter w:val="1"/>
          <w:wAfter w:w="10" w:type="dxa"/>
          <w:trHeight w:val="870"/>
        </w:trPr>
        <w:tc>
          <w:tcPr>
            <w:tcW w:w="5111" w:type="dxa"/>
            <w:gridSpan w:val="12"/>
            <w:shd w:val="clear" w:color="auto" w:fill="FFFFFF"/>
          </w:tcPr>
          <w:p w:rsidR="00135501" w:rsidRPr="008B4FE6" w:rsidRDefault="00135501" w:rsidP="00F41B81">
            <w:pPr>
              <w:spacing w:line="240" w:lineRule="auto"/>
              <w:jc w:val="both"/>
              <w:rPr>
                <w:rFonts w:ascii="Times New Roman" w:hAnsi="Times New Roman"/>
                <w:color w:val="000000"/>
              </w:rPr>
            </w:pPr>
            <w:r>
              <w:rPr>
                <w:rFonts w:ascii="Times New Roman" w:hAnsi="Times New Roman"/>
                <w:color w:val="000000"/>
                <w:spacing w:val="-2"/>
              </w:rPr>
              <w:lastRenderedPageBreak/>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rsidR="00135501" w:rsidRDefault="00EE1C80" w:rsidP="00F41B81">
            <w:pPr>
              <w:spacing w:line="240" w:lineRule="auto"/>
              <w:jc w:val="both"/>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Pr>
                <w:rFonts w:ascii="Times New Roman" w:hAnsi="Times New Roman"/>
                <w:color w:val="000000"/>
              </w:rPr>
              <w:t xml:space="preserve"> tak</w:t>
            </w:r>
          </w:p>
          <w:p w:rsidR="00135501" w:rsidRDefault="00EE1C80" w:rsidP="00F41B81">
            <w:pPr>
              <w:spacing w:line="240" w:lineRule="auto"/>
              <w:jc w:val="both"/>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Pr>
                <w:rFonts w:ascii="Times New Roman" w:hAnsi="Times New Roman"/>
                <w:color w:val="000000"/>
              </w:rPr>
              <w:t xml:space="preserve"> nie</w:t>
            </w:r>
          </w:p>
          <w:p w:rsidR="00135501" w:rsidRDefault="00EE1C80" w:rsidP="00F41B81">
            <w:pPr>
              <w:spacing w:line="240" w:lineRule="auto"/>
              <w:jc w:val="both"/>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Pr>
                <w:rFonts w:ascii="Times New Roman" w:hAnsi="Times New Roman"/>
                <w:color w:val="000000"/>
              </w:rPr>
              <w:t xml:space="preserve"> nie dotyczy</w:t>
            </w:r>
          </w:p>
          <w:p w:rsidR="00135501" w:rsidRPr="008B4FE6" w:rsidRDefault="00135501" w:rsidP="00F41B81">
            <w:pPr>
              <w:spacing w:line="240" w:lineRule="auto"/>
              <w:jc w:val="both"/>
              <w:rPr>
                <w:rFonts w:ascii="Times New Roman" w:hAnsi="Times New Roman"/>
                <w:color w:val="000000"/>
              </w:rPr>
            </w:pPr>
          </w:p>
        </w:tc>
      </w:tr>
      <w:tr w:rsidR="00135501" w:rsidRPr="008B4FE6" w:rsidTr="00676C8D">
        <w:trPr>
          <w:gridAfter w:val="1"/>
          <w:wAfter w:w="10" w:type="dxa"/>
          <w:trHeight w:val="630"/>
        </w:trPr>
        <w:tc>
          <w:tcPr>
            <w:tcW w:w="10937" w:type="dxa"/>
            <w:gridSpan w:val="29"/>
            <w:shd w:val="clear" w:color="auto" w:fill="FFFFFF"/>
          </w:tcPr>
          <w:p w:rsidR="00135501" w:rsidRDefault="00135501" w:rsidP="00F41B81">
            <w:pPr>
              <w:spacing w:line="240" w:lineRule="auto"/>
              <w:jc w:val="both"/>
              <w:rPr>
                <w:rFonts w:ascii="Times New Roman" w:hAnsi="Times New Roman"/>
                <w:color w:val="000000"/>
              </w:rPr>
            </w:pPr>
            <w:r>
              <w:rPr>
                <w:rFonts w:ascii="Times New Roman" w:hAnsi="Times New Roman"/>
                <w:color w:val="000000"/>
              </w:rPr>
              <w:t>Komentarz:</w:t>
            </w:r>
          </w:p>
          <w:p w:rsidR="00135501" w:rsidRPr="008D423F" w:rsidRDefault="00135501" w:rsidP="00F41B81">
            <w:pPr>
              <w:spacing w:line="240" w:lineRule="auto"/>
              <w:jc w:val="both"/>
              <w:rPr>
                <w:rFonts w:ascii="Times New Roman" w:hAnsi="Times New Roman"/>
              </w:rPr>
            </w:pPr>
            <w:r w:rsidRPr="008D423F">
              <w:rPr>
                <w:rFonts w:ascii="Times New Roman" w:hAnsi="Times New Roman"/>
                <w:u w:val="single"/>
              </w:rPr>
              <w:t>Prawa pasażerów</w:t>
            </w:r>
            <w:r w:rsidRPr="008D423F">
              <w:rPr>
                <w:rFonts w:ascii="Times New Roman" w:hAnsi="Times New Roman"/>
              </w:rPr>
              <w:t xml:space="preserve"> – w sprawie tego samego stanu faktycznego i prawnego będzie prowadzone tylko jedno postępowanie, a nie tak jak jest obecnie wiele.</w:t>
            </w:r>
          </w:p>
          <w:p w:rsidR="00A81792" w:rsidRPr="008D423F" w:rsidRDefault="00135501" w:rsidP="00F41B81">
            <w:pPr>
              <w:spacing w:line="240" w:lineRule="auto"/>
              <w:jc w:val="both"/>
              <w:rPr>
                <w:rFonts w:ascii="Times New Roman" w:hAnsi="Times New Roman"/>
              </w:rPr>
            </w:pPr>
            <w:r w:rsidRPr="008D423F">
              <w:rPr>
                <w:rFonts w:ascii="Times New Roman" w:hAnsi="Times New Roman"/>
                <w:u w:val="single"/>
              </w:rPr>
              <w:t>Żegluga powietrzna</w:t>
            </w:r>
          </w:p>
          <w:p w:rsidR="00135501" w:rsidRPr="008D423F" w:rsidRDefault="00A81792" w:rsidP="00F41B81">
            <w:pPr>
              <w:spacing w:line="240" w:lineRule="auto"/>
              <w:jc w:val="both"/>
              <w:rPr>
                <w:rFonts w:ascii="Times New Roman" w:hAnsi="Times New Roman"/>
              </w:rPr>
            </w:pPr>
            <w:r>
              <w:rPr>
                <w:rFonts w:ascii="Times New Roman" w:hAnsi="Times New Roman"/>
              </w:rPr>
              <w:t>O</w:t>
            </w:r>
            <w:r w:rsidR="00135501" w:rsidRPr="008D423F">
              <w:rPr>
                <w:rFonts w:ascii="Times New Roman" w:hAnsi="Times New Roman"/>
              </w:rPr>
              <w:t>pracowanie ram prawnych dla systemu zachęt finansowych w ustawie – Prawo lotnicze może skutkować zwiększeniem liczby procedur (a także dokumentów i potrzebą dodatkowego czasu na załatwienie tych spraw). Konieczne będzie wykonanie procedury mającej na celu zastosowanie systemu zachęt (nałożenie kary lub przyznanie premii).</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rPr>
              <w:t xml:space="preserve">Uchylenie przepisów </w:t>
            </w:r>
            <w:r w:rsidRPr="008D423F">
              <w:rPr>
                <w:rFonts w:ascii="Times New Roman" w:hAnsi="Times New Roman"/>
                <w:spacing w:val="-2"/>
              </w:rPr>
              <w:t>dotyczących zapewniania lotniskowej służby informacji powietrznej, dostępności służby meteorologicznej oraz tworzenia lotniskowych cywilnych organów służb ruchu lotniczego na lotniskach kontrolowanych i niekontrolowanych nie wpłynie na liczbę procedur, ani dokumentów, przepisy te są zbędne, gdyż sprawy te będą załatwiane w oparciu o inne już obowiązujące przepisy UE i krajowe.</w:t>
            </w:r>
          </w:p>
          <w:p w:rsidR="00135501" w:rsidRDefault="00135501" w:rsidP="00F41B81">
            <w:pPr>
              <w:spacing w:line="240" w:lineRule="auto"/>
              <w:jc w:val="both"/>
              <w:rPr>
                <w:rFonts w:ascii="Times New Roman" w:hAnsi="Times New Roman"/>
              </w:rPr>
            </w:pPr>
            <w:r w:rsidRPr="008D423F">
              <w:rPr>
                <w:rFonts w:ascii="Times New Roman" w:hAnsi="Times New Roman"/>
              </w:rPr>
              <w:t>Propozycja art. 86 ust. 10 pozwoli zmniejszyć liczbę procedur i dokumentów. Będzie to możliwe dzięki temu, że podmioty będą mogły występować bezpośrednio do Prezesa ULC z prośbą o opinię dotyczącą możliwości lokalizacji inwestycji. W obecnym stanie prawnym podmioty realizujące inwestycje wyst</w:t>
            </w:r>
            <w:r>
              <w:rPr>
                <w:rFonts w:ascii="Times New Roman" w:hAnsi="Times New Roman"/>
              </w:rPr>
              <w:t>ę</w:t>
            </w:r>
            <w:r w:rsidRPr="008D423F">
              <w:rPr>
                <w:rFonts w:ascii="Times New Roman" w:hAnsi="Times New Roman"/>
              </w:rPr>
              <w:t>pują do Prezesa ULC za pośrednictwem gmin, na terenie których realizują inwestycje. Obciążeniem dla podmiotów realizujących inwestycje będzie konieczność wniesienia opłaty lotniczej w wysokości 1047 złotych za wydanie takiej opinii. Szacowane roczne wpływy z opłaty lotniczej w tym zakresie dla Urzędu to ok. 150 000 złotych.</w:t>
            </w:r>
          </w:p>
          <w:p w:rsidR="00135501" w:rsidRPr="008D423F" w:rsidRDefault="00135501" w:rsidP="00F41B81">
            <w:pPr>
              <w:spacing w:line="240" w:lineRule="auto"/>
              <w:jc w:val="both"/>
              <w:rPr>
                <w:rFonts w:ascii="Times New Roman" w:hAnsi="Times New Roman"/>
              </w:rPr>
            </w:pPr>
            <w:r w:rsidRPr="00B0652A">
              <w:rPr>
                <w:rFonts w:ascii="Times New Roman" w:hAnsi="Times New Roman"/>
              </w:rPr>
              <w:t>Wprowadzone uregulowania prawne pozwolą na sformalizowanie procesu uzgadniania lokalizacji inwestycji w otoczeniu lotniczych urządzeń naziemnych.</w:t>
            </w:r>
          </w:p>
          <w:p w:rsidR="00135501" w:rsidRPr="008D423F" w:rsidRDefault="00135501" w:rsidP="00F41B81">
            <w:pPr>
              <w:spacing w:line="240" w:lineRule="auto"/>
              <w:jc w:val="both"/>
              <w:rPr>
                <w:rFonts w:ascii="Times New Roman" w:hAnsi="Times New Roman"/>
              </w:rPr>
            </w:pPr>
            <w:r w:rsidRPr="008D423F">
              <w:rPr>
                <w:rFonts w:ascii="Times New Roman" w:hAnsi="Times New Roman"/>
                <w:u w:val="single"/>
              </w:rPr>
              <w:t xml:space="preserve">Personel lotniczy </w:t>
            </w:r>
            <w:r w:rsidRPr="008D423F">
              <w:rPr>
                <w:rFonts w:ascii="Times New Roman" w:hAnsi="Times New Roman"/>
              </w:rPr>
              <w:t>– poszerzenie liczby podmiotów kontrolowanych oraz zaostrzenie niektórych z obecnie obowiązujących procedur spowoduje zwiększenie ich liczby.</w:t>
            </w:r>
          </w:p>
          <w:p w:rsidR="00135501" w:rsidRPr="008D423F" w:rsidRDefault="00135501" w:rsidP="00F41B81">
            <w:pPr>
              <w:spacing w:line="240" w:lineRule="auto"/>
              <w:jc w:val="both"/>
              <w:rPr>
                <w:rFonts w:ascii="Times New Roman" w:hAnsi="Times New Roman"/>
              </w:rPr>
            </w:pPr>
            <w:r w:rsidRPr="008D423F">
              <w:rPr>
                <w:rFonts w:ascii="Times New Roman" w:hAnsi="Times New Roman"/>
              </w:rPr>
              <w:t xml:space="preserve">Uchylenie regulacji dotyczących </w:t>
            </w:r>
          </w:p>
          <w:p w:rsidR="00135501" w:rsidRPr="008D423F" w:rsidRDefault="00135501" w:rsidP="00F41B81">
            <w:pPr>
              <w:spacing w:line="240" w:lineRule="auto"/>
              <w:jc w:val="both"/>
              <w:rPr>
                <w:rFonts w:ascii="Times New Roman" w:hAnsi="Times New Roman"/>
              </w:rPr>
            </w:pPr>
            <w:r w:rsidRPr="008D423F">
              <w:rPr>
                <w:rFonts w:ascii="Times New Roman" w:hAnsi="Times New Roman"/>
                <w:u w:val="single"/>
              </w:rPr>
              <w:t>Transport lotniczy</w:t>
            </w:r>
            <w:r w:rsidRPr="008D423F">
              <w:rPr>
                <w:rFonts w:ascii="Times New Roman" w:hAnsi="Times New Roman"/>
              </w:rPr>
              <w:t xml:space="preserve"> – spodziewane zmniejszenie liczby dokumentów dotyczy kwestii związanych z ustanowieniem przewoźnika unijnego, zezwoleniami na przewóz lotniczy oraz w części taryfami przewozu lotniczego. Zwiększenie liczby procedur związane jest z wdrożeniem sankcji. Zwiększenie liczby dokumentów dotyczy unijnego obowiązku posiadania TCO, tj. autoryzacji wydawanej przez EASA przewoźnikowi z kraju trzeciego, który zamierza wykonywać zarobkowy transport lotniczy do UE.</w:t>
            </w:r>
          </w:p>
          <w:p w:rsidR="00135501" w:rsidRPr="008D423F" w:rsidRDefault="00135501" w:rsidP="00F41B81">
            <w:pPr>
              <w:spacing w:line="240" w:lineRule="auto"/>
              <w:jc w:val="both"/>
              <w:rPr>
                <w:rFonts w:ascii="Times New Roman" w:hAnsi="Times New Roman"/>
              </w:rPr>
            </w:pPr>
            <w:r w:rsidRPr="008D423F">
              <w:rPr>
                <w:rFonts w:ascii="Times New Roman" w:hAnsi="Times New Roman"/>
                <w:u w:val="single"/>
              </w:rPr>
              <w:t>Ochrona lotnictwa cywilnego:</w:t>
            </w:r>
            <w:r w:rsidRPr="008D423F">
              <w:rPr>
                <w:rFonts w:ascii="Times New Roman" w:hAnsi="Times New Roman"/>
              </w:rPr>
              <w:t xml:space="preserve"> </w:t>
            </w:r>
          </w:p>
          <w:p w:rsidR="00135501" w:rsidRPr="008D423F" w:rsidRDefault="00135501" w:rsidP="00F41B81">
            <w:pPr>
              <w:pStyle w:val="Akapitzlist"/>
              <w:numPr>
                <w:ilvl w:val="0"/>
                <w:numId w:val="23"/>
              </w:numPr>
              <w:spacing w:line="240" w:lineRule="auto"/>
              <w:jc w:val="both"/>
              <w:rPr>
                <w:rFonts w:ascii="Times New Roman" w:hAnsi="Times New Roman"/>
              </w:rPr>
            </w:pPr>
            <w:r w:rsidRPr="008D423F">
              <w:rPr>
                <w:rFonts w:ascii="Times New Roman" w:hAnsi="Times New Roman"/>
              </w:rPr>
              <w:t>poszerzenie katalogu kar spowoduje zwiększenie liczby procedur, gdyż większy katalog naruszeń będzie objęty wymogami proceduralnymi.;</w:t>
            </w:r>
          </w:p>
          <w:p w:rsidR="00135501" w:rsidRPr="008D423F" w:rsidRDefault="00135501" w:rsidP="00F41B81">
            <w:pPr>
              <w:pStyle w:val="Akapitzlist"/>
              <w:numPr>
                <w:ilvl w:val="0"/>
                <w:numId w:val="23"/>
              </w:numPr>
              <w:spacing w:line="240" w:lineRule="auto"/>
              <w:jc w:val="both"/>
              <w:rPr>
                <w:rFonts w:ascii="Times New Roman" w:hAnsi="Times New Roman"/>
              </w:rPr>
            </w:pPr>
            <w:r w:rsidRPr="008D423F">
              <w:rPr>
                <w:rFonts w:ascii="Times New Roman" w:hAnsi="Times New Roman"/>
              </w:rPr>
              <w:t>wprowadzenie nowego obowiązku w postaci przeprowadzania procesu sprawdzenia przeszłości będzie powodowało zwiększenie liczby dokumentów, zarówno po stronie Prezesa Urzędu, jak i Komendanta Głównego SG, a także opracowania nowej procedury do  jego przeprowadzania. Realizacja sprawdzenia przeszłości wydłuży również czas na załatwienie sprawy, z uwagi na zakres sprawdzenia przeszłości i konieczność sięgania przez Komendanta Głównego SG do zewnętrznych zbiorów urzędowych oraz baz danych.</w:t>
            </w:r>
          </w:p>
          <w:p w:rsidR="00135501" w:rsidRPr="008D423F" w:rsidRDefault="00135501" w:rsidP="00F41B81">
            <w:pPr>
              <w:spacing w:line="240" w:lineRule="auto"/>
              <w:jc w:val="both"/>
              <w:rPr>
                <w:rFonts w:ascii="Times New Roman" w:hAnsi="Times New Roman"/>
              </w:rPr>
            </w:pPr>
            <w:r w:rsidRPr="008D423F">
              <w:rPr>
                <w:rFonts w:ascii="Times New Roman" w:hAnsi="Times New Roman"/>
                <w:u w:val="single"/>
              </w:rPr>
              <w:t>Operacje lotnicze</w:t>
            </w:r>
            <w:r w:rsidRPr="008D423F">
              <w:rPr>
                <w:rFonts w:ascii="Times New Roman" w:hAnsi="Times New Roman"/>
              </w:rPr>
              <w:t xml:space="preserve"> – poszerzenie grupy podmiotów podlegających nadzorowi Prezesa ULC, nałożenie w tym zakresie  nowych obowiązków na Prezesa Urzędu Lotnictwa Cywilnego.</w:t>
            </w:r>
          </w:p>
          <w:p w:rsidR="00135501" w:rsidRDefault="00135501" w:rsidP="00F41B81">
            <w:pPr>
              <w:spacing w:line="240" w:lineRule="auto"/>
              <w:jc w:val="both"/>
              <w:rPr>
                <w:rFonts w:ascii="Times New Roman" w:hAnsi="Times New Roman"/>
              </w:rPr>
            </w:pPr>
            <w:r w:rsidRPr="008D423F">
              <w:rPr>
                <w:rFonts w:ascii="Times New Roman" w:hAnsi="Times New Roman"/>
                <w:u w:val="single"/>
              </w:rPr>
              <w:t>Technika lotnicza</w:t>
            </w:r>
            <w:r w:rsidRPr="008D423F">
              <w:rPr>
                <w:rFonts w:ascii="Times New Roman" w:hAnsi="Times New Roman"/>
              </w:rPr>
              <w:t xml:space="preserve"> – zmniejszenie obciążeń administracyjnych poprzez rezygnację z wymogu przedkładania dokumentu zdatności do lotu przy wpisie statku powietrznego do rejestru cywilnych statków powietrznych. Przewidywane określenie wzoru wniosku o wydanie świadectwa hałasu ułatwi podmiotom przekazywanie niezbędnych informacji w tym zakresie.</w:t>
            </w:r>
          </w:p>
          <w:p w:rsidR="00135501" w:rsidRPr="008B4FE6" w:rsidRDefault="00135501" w:rsidP="00F41B81">
            <w:pPr>
              <w:spacing w:line="240" w:lineRule="auto"/>
              <w:jc w:val="both"/>
              <w:rPr>
                <w:rFonts w:ascii="Times New Roman" w:hAnsi="Times New Roman"/>
                <w:color w:val="000000"/>
              </w:rPr>
            </w:pPr>
            <w:r w:rsidRPr="00FA4EE0">
              <w:rPr>
                <w:rFonts w:ascii="Times New Roman" w:hAnsi="Times New Roman"/>
                <w:color w:val="000000"/>
                <w:u w:val="single"/>
              </w:rPr>
              <w:t>Lotniska</w:t>
            </w:r>
            <w:r w:rsidRPr="00FA4EE0">
              <w:rPr>
                <w:rFonts w:ascii="Times New Roman" w:hAnsi="Times New Roman"/>
                <w:color w:val="000000"/>
              </w:rPr>
              <w:t xml:space="preserve"> – proponowane rozwiązania umożliwią zarządzającym lotniskami, o których mowa w art. 4 ust. 3a rozporządzenia 216/2008/WE uzyskanie certyfikatu zgodnie z rozporządzeniem 139/2014. Część zadań związanych z monitoringiem otoczenia zostanie przekazana zarządzającym lotniskami w celu zapewnienia konsultacji otoczenia lotniska, o których mowa w art. 8-10 rozporządzenia 139/2014,</w:t>
            </w:r>
            <w:r w:rsidRPr="00FA4EE0">
              <w:rPr>
                <w:rFonts w:ascii="Times New Roman" w:hAnsi="Times New Roman"/>
                <w:spacing w:val="-2"/>
              </w:rPr>
              <w:t xml:space="preserve"> ustalania opłat lotniskowych związanych z usuwaniem drzew i krzewów oraz odszkodowań z tym związanych, monitorowania i zgłaszania obecności przeszkód lotniczych wznoszonych na terenie znajdującym się w granicach powierzchni ograniczających przeszkody, uczestniczenia w kształtowaniu polityki przestrzennej gmin dla terenów na których znajduje się lotnisko oraz wyznaczone są powierzchnie ograniczające przeszkody, wydawanie odstępstw od wymogów dotyczących powierzchni ograniczających przeszkody dla obiektów stałych o charakterze czasowym lub ruchomych, obowiązku usunięcia obiektu, który stał się przeszkodą lotniczą w wyniku budowy lub rozbudowy lotniska</w:t>
            </w:r>
            <w:r w:rsidRPr="00FA4EE0">
              <w:rPr>
                <w:rFonts w:ascii="Times New Roman" w:hAnsi="Times New Roman"/>
                <w:color w:val="000000"/>
              </w:rPr>
              <w:t>. Mając na uwadze wymagania UE, praktykę stosowaną w innych krajach przepisy w art. 87 częściowo przekazują zadania dotyczące uzgadniania powierzchni ograniczających przeszkody, wycinki drzew, oznakowania przeszkód lotniczych, w tym dźwigów, zarządzającym lotniskami i właściwym władzom administracji lokalnej</w:t>
            </w:r>
            <w:r w:rsidRPr="00FA4EE0">
              <w:t>.</w:t>
            </w:r>
            <w:r w:rsidRPr="008462FB">
              <w:t xml:space="preserve"> </w:t>
            </w:r>
          </w:p>
        </w:tc>
      </w:tr>
      <w:tr w:rsidR="00135501" w:rsidRPr="008B4FE6" w:rsidTr="00676C8D">
        <w:trPr>
          <w:gridAfter w:val="1"/>
          <w:wAfter w:w="10" w:type="dxa"/>
          <w:trHeight w:val="142"/>
        </w:trPr>
        <w:tc>
          <w:tcPr>
            <w:tcW w:w="10937" w:type="dxa"/>
            <w:gridSpan w:val="29"/>
            <w:shd w:val="clear" w:color="auto" w:fill="99CCFF"/>
          </w:tcPr>
          <w:p w:rsidR="00135501" w:rsidRPr="008B4FE6" w:rsidRDefault="00135501" w:rsidP="00F41B81">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135501" w:rsidRPr="008B4FE6" w:rsidTr="00676C8D">
        <w:trPr>
          <w:gridAfter w:val="1"/>
          <w:wAfter w:w="10" w:type="dxa"/>
          <w:trHeight w:val="142"/>
        </w:trPr>
        <w:tc>
          <w:tcPr>
            <w:tcW w:w="10937" w:type="dxa"/>
            <w:gridSpan w:val="29"/>
            <w:shd w:val="clear" w:color="auto" w:fill="auto"/>
          </w:tcPr>
          <w:p w:rsidR="00135501" w:rsidRPr="004838F1" w:rsidRDefault="00135501" w:rsidP="00F41B81">
            <w:pPr>
              <w:spacing w:line="240" w:lineRule="auto"/>
              <w:jc w:val="both"/>
              <w:rPr>
                <w:rFonts w:ascii="Times New Roman" w:hAnsi="Times New Roman"/>
                <w:color w:val="000000"/>
                <w:u w:val="single"/>
              </w:rPr>
            </w:pPr>
            <w:r w:rsidRPr="004838F1">
              <w:rPr>
                <w:rFonts w:ascii="Times New Roman" w:hAnsi="Times New Roman"/>
                <w:color w:val="000000"/>
                <w:u w:val="single"/>
              </w:rPr>
              <w:t>Szkolenie lotnicze</w:t>
            </w:r>
          </w:p>
          <w:p w:rsidR="00135501" w:rsidRPr="004838F1" w:rsidRDefault="00135501" w:rsidP="00F41B81">
            <w:pPr>
              <w:jc w:val="both"/>
              <w:rPr>
                <w:rFonts w:ascii="Times New Roman" w:hAnsi="Times New Roman"/>
              </w:rPr>
            </w:pPr>
            <w:r w:rsidRPr="004838F1">
              <w:rPr>
                <w:rFonts w:ascii="Times New Roman" w:hAnsi="Times New Roman"/>
              </w:rPr>
              <w:t xml:space="preserve">Z względu na pojawienie się nowych rodzajów licencji pilota rekreacyjnego LAPL, co może w dalszej perspektywie </w:t>
            </w:r>
            <w:r w:rsidRPr="004838F1">
              <w:rPr>
                <w:rFonts w:ascii="Times New Roman" w:hAnsi="Times New Roman"/>
              </w:rPr>
              <w:lastRenderedPageBreak/>
              <w:t>czasowej (ale nie musi) przełożyć się na powstawanie nowych organizacji szkolenia lotniczego ATO</w:t>
            </w:r>
            <w:r>
              <w:rPr>
                <w:rFonts w:ascii="Times New Roman" w:hAnsi="Times New Roman"/>
              </w:rPr>
              <w:t xml:space="preserve"> (Approved Training Organisation – Zatwierdzone Organizacje Szkolenio</w:t>
            </w:r>
            <w:r w:rsidR="00011ECE">
              <w:rPr>
                <w:rFonts w:ascii="Times New Roman" w:hAnsi="Times New Roman"/>
              </w:rPr>
              <w:t>w</w:t>
            </w:r>
            <w:r>
              <w:rPr>
                <w:rFonts w:ascii="Times New Roman" w:hAnsi="Times New Roman"/>
              </w:rPr>
              <w:t>e)</w:t>
            </w:r>
            <w:r w:rsidRPr="004838F1">
              <w:rPr>
                <w:rFonts w:ascii="Times New Roman" w:hAnsi="Times New Roman"/>
              </w:rPr>
              <w:t xml:space="preserve"> na zasadach rynkowych (popyt/podaż), a co za tym idzie nowych miejsc pracy dla wykwalifikowanej kadry lotniczej (instruktorów). Powyższe może zatem mieć również pozytywny wpływ na rozwój regionalny (regionalne lotniska/aerokluby – większa konkurencyjność).</w:t>
            </w:r>
          </w:p>
          <w:p w:rsidR="00135501" w:rsidRPr="004838F1" w:rsidRDefault="00135501" w:rsidP="00F41B81">
            <w:pPr>
              <w:spacing w:line="240" w:lineRule="auto"/>
              <w:jc w:val="both"/>
              <w:rPr>
                <w:rFonts w:ascii="Times New Roman" w:hAnsi="Times New Roman"/>
                <w:color w:val="000000"/>
                <w:u w:val="single"/>
              </w:rPr>
            </w:pPr>
            <w:r w:rsidRPr="004838F1">
              <w:rPr>
                <w:rFonts w:ascii="Times New Roman" w:hAnsi="Times New Roman"/>
                <w:color w:val="000000"/>
                <w:u w:val="single"/>
              </w:rPr>
              <w:t>Transport lotniczy</w:t>
            </w:r>
          </w:p>
          <w:p w:rsidR="00135501" w:rsidRPr="008B4FE6" w:rsidRDefault="00135501" w:rsidP="00F41B81">
            <w:pPr>
              <w:spacing w:line="240" w:lineRule="auto"/>
              <w:jc w:val="both"/>
              <w:rPr>
                <w:rFonts w:ascii="Times New Roman" w:hAnsi="Times New Roman"/>
                <w:color w:val="000000"/>
              </w:rPr>
            </w:pPr>
            <w:r>
              <w:rPr>
                <w:rFonts w:ascii="Times New Roman" w:hAnsi="Times New Roman"/>
                <w:color w:val="000000"/>
              </w:rPr>
              <w:t>Wpływ neutralny</w:t>
            </w:r>
          </w:p>
          <w:p w:rsidR="00135501" w:rsidRPr="004838F1" w:rsidRDefault="00135501" w:rsidP="00F41B81">
            <w:pPr>
              <w:spacing w:line="240" w:lineRule="auto"/>
              <w:jc w:val="both"/>
              <w:rPr>
                <w:rFonts w:ascii="Times New Roman" w:hAnsi="Times New Roman"/>
                <w:color w:val="000000"/>
                <w:u w:val="single"/>
              </w:rPr>
            </w:pPr>
            <w:r w:rsidRPr="004838F1">
              <w:rPr>
                <w:rFonts w:ascii="Times New Roman" w:hAnsi="Times New Roman"/>
                <w:color w:val="000000"/>
                <w:u w:val="single"/>
              </w:rPr>
              <w:t>Ochrona lotnictwa cywilnego</w:t>
            </w:r>
          </w:p>
          <w:p w:rsidR="00135501" w:rsidRPr="008B4FE6" w:rsidRDefault="00135501" w:rsidP="00F41B81">
            <w:pPr>
              <w:spacing w:line="240" w:lineRule="auto"/>
              <w:jc w:val="both"/>
              <w:rPr>
                <w:rFonts w:ascii="Times New Roman" w:hAnsi="Times New Roman"/>
                <w:color w:val="000000"/>
              </w:rPr>
            </w:pPr>
            <w:r>
              <w:rPr>
                <w:rFonts w:ascii="Times New Roman" w:hAnsi="Times New Roman"/>
                <w:color w:val="000000"/>
              </w:rPr>
              <w:t>Brak wpływu</w:t>
            </w:r>
          </w:p>
        </w:tc>
      </w:tr>
      <w:tr w:rsidR="00135501" w:rsidRPr="008B4FE6" w:rsidTr="00676C8D">
        <w:trPr>
          <w:gridAfter w:val="1"/>
          <w:wAfter w:w="10" w:type="dxa"/>
          <w:trHeight w:val="142"/>
        </w:trPr>
        <w:tc>
          <w:tcPr>
            <w:tcW w:w="10937" w:type="dxa"/>
            <w:gridSpan w:val="29"/>
            <w:shd w:val="clear" w:color="auto" w:fill="99CCFF"/>
          </w:tcPr>
          <w:p w:rsidR="00135501" w:rsidRPr="008B4FE6" w:rsidRDefault="00135501" w:rsidP="00F41B81">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lastRenderedPageBreak/>
              <w:t>Wpływ na pozostałe obszary</w:t>
            </w:r>
          </w:p>
        </w:tc>
      </w:tr>
      <w:tr w:rsidR="00135501" w:rsidRPr="008B4FE6" w:rsidTr="00676C8D">
        <w:trPr>
          <w:gridAfter w:val="1"/>
          <w:wAfter w:w="10" w:type="dxa"/>
          <w:trHeight w:val="1031"/>
        </w:trPr>
        <w:tc>
          <w:tcPr>
            <w:tcW w:w="3547" w:type="dxa"/>
            <w:gridSpan w:val="5"/>
            <w:shd w:val="clear" w:color="auto" w:fill="FFFFFF"/>
          </w:tcPr>
          <w:p w:rsidR="00135501" w:rsidRPr="008B4FE6" w:rsidRDefault="00135501" w:rsidP="00F41B81">
            <w:pPr>
              <w:spacing w:line="240" w:lineRule="auto"/>
              <w:jc w:val="both"/>
              <w:rPr>
                <w:rFonts w:ascii="Times New Roman" w:hAnsi="Times New Roman"/>
                <w:color w:val="000000"/>
              </w:rPr>
            </w:pPr>
          </w:p>
          <w:p w:rsidR="00135501" w:rsidRPr="008B4FE6" w:rsidRDefault="00EE1C80" w:rsidP="00F41B81">
            <w:pPr>
              <w:spacing w:line="240" w:lineRule="auto"/>
              <w:jc w:val="both"/>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środowisko naturalne</w:t>
            </w:r>
          </w:p>
          <w:p w:rsidR="00135501" w:rsidRDefault="00EE1C80" w:rsidP="00F41B81">
            <w:pPr>
              <w:spacing w:line="240" w:lineRule="auto"/>
              <w:jc w:val="both"/>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sidR="00135501">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rPr>
              <w:t>sytuacja i rozwój regionalny</w:t>
            </w:r>
          </w:p>
          <w:p w:rsidR="00135501" w:rsidRPr="008B4FE6" w:rsidRDefault="00EE1C80" w:rsidP="00F41B81">
            <w:pPr>
              <w:spacing w:line="240" w:lineRule="auto"/>
              <w:jc w:val="both"/>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00135501"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00135501" w:rsidRPr="008B4FE6">
              <w:rPr>
                <w:rFonts w:ascii="Times New Roman"/>
                <w:noProof/>
                <w:color w:val="000000"/>
              </w:rPr>
              <w:t> </w:t>
            </w:r>
            <w:r w:rsidRPr="008B4FE6">
              <w:rPr>
                <w:rFonts w:ascii="Times New Roman" w:hAnsi="Times New Roman"/>
                <w:color w:val="000000"/>
              </w:rPr>
              <w:fldChar w:fldCharType="end"/>
            </w:r>
          </w:p>
        </w:tc>
        <w:tc>
          <w:tcPr>
            <w:tcW w:w="3687" w:type="dxa"/>
            <w:gridSpan w:val="15"/>
            <w:shd w:val="clear" w:color="auto" w:fill="FFFFFF"/>
          </w:tcPr>
          <w:p w:rsidR="00135501" w:rsidRPr="008B4FE6" w:rsidRDefault="00135501" w:rsidP="00F41B81">
            <w:pPr>
              <w:spacing w:line="240" w:lineRule="auto"/>
              <w:jc w:val="both"/>
              <w:rPr>
                <w:rFonts w:ascii="Times New Roman" w:hAnsi="Times New Roman"/>
                <w:color w:val="000000"/>
              </w:rPr>
            </w:pPr>
          </w:p>
          <w:p w:rsidR="00135501" w:rsidRPr="008B4FE6" w:rsidRDefault="00EE1C80" w:rsidP="00F41B81">
            <w:pPr>
              <w:spacing w:line="240" w:lineRule="auto"/>
              <w:jc w:val="both"/>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demografia</w:t>
            </w:r>
          </w:p>
          <w:p w:rsidR="00135501" w:rsidRPr="008B4FE6" w:rsidRDefault="00EE1C80" w:rsidP="00F41B81">
            <w:pPr>
              <w:spacing w:line="240" w:lineRule="auto"/>
              <w:jc w:val="both"/>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Pr>
                <w:rFonts w:ascii="Times New Roman" w:hAnsi="Times New Roman"/>
                <w:color w:val="000000"/>
              </w:rPr>
              <w:t>mienie państwowe</w:t>
            </w:r>
          </w:p>
        </w:tc>
        <w:tc>
          <w:tcPr>
            <w:tcW w:w="3703" w:type="dxa"/>
            <w:gridSpan w:val="9"/>
            <w:shd w:val="clear" w:color="auto" w:fill="FFFFFF"/>
          </w:tcPr>
          <w:p w:rsidR="00135501" w:rsidRPr="008B4FE6" w:rsidRDefault="00135501" w:rsidP="00F41B81">
            <w:pPr>
              <w:spacing w:line="240" w:lineRule="auto"/>
              <w:jc w:val="both"/>
              <w:rPr>
                <w:rFonts w:ascii="Times New Roman" w:hAnsi="Times New Roman"/>
                <w:color w:val="000000"/>
              </w:rPr>
            </w:pPr>
          </w:p>
          <w:p w:rsidR="00135501" w:rsidRDefault="00EE1C80" w:rsidP="00F41B81">
            <w:pPr>
              <w:spacing w:line="240" w:lineRule="auto"/>
              <w:jc w:val="both"/>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sidRPr="008B4FE6">
              <w:rPr>
                <w:rFonts w:ascii="Times New Roman" w:hAnsi="Times New Roman"/>
                <w:color w:val="000000"/>
                <w:spacing w:val="-2"/>
              </w:rPr>
              <w:t>informatyzacja</w:t>
            </w:r>
          </w:p>
          <w:p w:rsidR="00135501" w:rsidRPr="008B4FE6" w:rsidRDefault="00EE1C80" w:rsidP="00F41B81">
            <w:pPr>
              <w:spacing w:line="240" w:lineRule="auto"/>
              <w:jc w:val="both"/>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00135501" w:rsidRPr="008B4FE6">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sidRPr="008B4FE6">
              <w:rPr>
                <w:rFonts w:ascii="Times New Roman" w:hAnsi="Times New Roman"/>
                <w:color w:val="000000"/>
              </w:rPr>
              <w:fldChar w:fldCharType="end"/>
            </w:r>
            <w:r w:rsidR="00135501" w:rsidRPr="008B4FE6">
              <w:rPr>
                <w:rFonts w:ascii="Times New Roman" w:hAnsi="Times New Roman"/>
                <w:color w:val="000000"/>
                <w:sz w:val="20"/>
                <w:szCs w:val="20"/>
              </w:rPr>
              <w:t xml:space="preserve"> </w:t>
            </w:r>
            <w:r w:rsidR="00135501">
              <w:rPr>
                <w:rFonts w:ascii="Times New Roman" w:hAnsi="Times New Roman"/>
                <w:color w:val="000000"/>
                <w:spacing w:val="-2"/>
              </w:rPr>
              <w:t>zdrowie</w:t>
            </w:r>
          </w:p>
        </w:tc>
      </w:tr>
      <w:tr w:rsidR="00135501" w:rsidRPr="008B4FE6" w:rsidTr="00676C8D">
        <w:trPr>
          <w:gridAfter w:val="1"/>
          <w:wAfter w:w="10" w:type="dxa"/>
          <w:trHeight w:val="712"/>
        </w:trPr>
        <w:tc>
          <w:tcPr>
            <w:tcW w:w="2243" w:type="dxa"/>
            <w:gridSpan w:val="2"/>
            <w:shd w:val="clear" w:color="auto" w:fill="FFFFFF"/>
            <w:vAlign w:val="center"/>
          </w:tcPr>
          <w:p w:rsidR="00135501" w:rsidRPr="008B4FE6" w:rsidRDefault="00135501" w:rsidP="00F41B81">
            <w:pPr>
              <w:spacing w:line="240" w:lineRule="auto"/>
              <w:jc w:val="both"/>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rsidR="00135501" w:rsidRPr="008B4FE6" w:rsidRDefault="00135501" w:rsidP="00F41B81">
            <w:pPr>
              <w:spacing w:line="240" w:lineRule="auto"/>
              <w:jc w:val="both"/>
              <w:rPr>
                <w:rFonts w:ascii="Times New Roman" w:hAnsi="Times New Roman"/>
                <w:color w:val="000000"/>
                <w:spacing w:val="-2"/>
              </w:rPr>
            </w:pPr>
          </w:p>
        </w:tc>
      </w:tr>
      <w:tr w:rsidR="00135501" w:rsidRPr="008B4FE6" w:rsidTr="00676C8D">
        <w:trPr>
          <w:gridAfter w:val="1"/>
          <w:wAfter w:w="10" w:type="dxa"/>
          <w:trHeight w:val="142"/>
        </w:trPr>
        <w:tc>
          <w:tcPr>
            <w:tcW w:w="10937" w:type="dxa"/>
            <w:gridSpan w:val="29"/>
            <w:shd w:val="clear" w:color="auto" w:fill="99CCFF"/>
          </w:tcPr>
          <w:p w:rsidR="00135501" w:rsidRPr="00627221" w:rsidRDefault="00135501" w:rsidP="00F41B81">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135501" w:rsidRPr="008B4FE6" w:rsidTr="00676C8D">
        <w:trPr>
          <w:gridAfter w:val="1"/>
          <w:wAfter w:w="10" w:type="dxa"/>
          <w:trHeight w:val="142"/>
        </w:trPr>
        <w:tc>
          <w:tcPr>
            <w:tcW w:w="10937" w:type="dxa"/>
            <w:gridSpan w:val="29"/>
            <w:shd w:val="clear" w:color="auto" w:fill="FFFFFF"/>
          </w:tcPr>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rPr>
              <w:t xml:space="preserve">W podstawowym zakresie </w:t>
            </w:r>
            <w:r w:rsidRPr="008D423F">
              <w:rPr>
                <w:rFonts w:ascii="Times New Roman" w:hAnsi="Times New Roman"/>
                <w:spacing w:val="-2"/>
              </w:rPr>
              <w:t xml:space="preserve">wykonanie przepisów projektowanego aktu prawnego nastąpi w momencie wejścia w życie zmiany ustawy z dnia 3 lipca 2002 r. – Prawo lotnicze. </w:t>
            </w:r>
          </w:p>
          <w:p w:rsidR="00135501" w:rsidRPr="008D423F" w:rsidRDefault="00135501" w:rsidP="00F41B81">
            <w:pPr>
              <w:spacing w:line="240" w:lineRule="auto"/>
              <w:jc w:val="both"/>
              <w:rPr>
                <w:rFonts w:ascii="Times New Roman" w:hAnsi="Times New Roman"/>
              </w:rPr>
            </w:pPr>
            <w:r w:rsidRPr="008D423F">
              <w:rPr>
                <w:rFonts w:ascii="Times New Roman" w:hAnsi="Times New Roman"/>
                <w:spacing w:val="-2"/>
              </w:rPr>
              <w:t>Dodatkowo, w zakresie:</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Transport lotniczy:</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Planowana zmiana w zakresie opłat terminalowych powinna zostać wdrożona do końca trzeciego kwartału 2014 r., tak aby możliwe było określenie opłat na lotniskach wyłączonych ze stosowania przepisów unijnych począwszy od roku 2015. W takiej sytuacji wykonanie aktu prawnego nastąpi już od pierwszego roku zastosowanego ewentualnie wyłączenia, tj. w 2015 r.</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Operacje lotnicze:</w:t>
            </w:r>
          </w:p>
          <w:p w:rsidR="00135501" w:rsidRDefault="00135501" w:rsidP="00F41B81">
            <w:pPr>
              <w:spacing w:line="240" w:lineRule="auto"/>
              <w:jc w:val="both"/>
              <w:rPr>
                <w:rFonts w:ascii="Times New Roman" w:hAnsi="Times New Roman"/>
                <w:spacing w:val="-2"/>
              </w:rPr>
            </w:pPr>
            <w:r w:rsidRPr="008D423F">
              <w:rPr>
                <w:rFonts w:ascii="Times New Roman" w:hAnsi="Times New Roman"/>
                <w:spacing w:val="-2"/>
              </w:rPr>
              <w:t>W 2015 r. będzie przeprowadzany audyt standaryzacyjny EASA, który zbada m.in. implementację przepisów UE (rozporządzenia 965/2012),  uprawnienia nadzoru lotniczego (art. 3  rozporządzenia nr 965/2012)  oraz wdrożenie i skuteczność kar (art. 68 rozporządzenia nr 216/2008).</w:t>
            </w:r>
          </w:p>
          <w:p w:rsidR="00135501" w:rsidRPr="006F0073" w:rsidRDefault="00135501" w:rsidP="00F41B81">
            <w:pPr>
              <w:spacing w:line="240" w:lineRule="auto"/>
              <w:jc w:val="both"/>
              <w:rPr>
                <w:rFonts w:ascii="Times New Roman" w:hAnsi="Times New Roman"/>
                <w:spacing w:val="-2"/>
                <w:u w:val="single"/>
              </w:rPr>
            </w:pPr>
            <w:r w:rsidRPr="006F0073">
              <w:rPr>
                <w:rFonts w:ascii="Times New Roman" w:hAnsi="Times New Roman"/>
                <w:spacing w:val="-2"/>
                <w:u w:val="single"/>
              </w:rPr>
              <w:t>Lotniska:</w:t>
            </w:r>
          </w:p>
          <w:p w:rsidR="00135501" w:rsidRPr="006F0073" w:rsidRDefault="00135501" w:rsidP="00F41B81">
            <w:pPr>
              <w:spacing w:line="240" w:lineRule="auto"/>
              <w:jc w:val="both"/>
              <w:rPr>
                <w:rFonts w:ascii="Times New Roman" w:hAnsi="Times New Roman"/>
                <w:spacing w:val="-2"/>
              </w:rPr>
            </w:pPr>
            <w:r w:rsidRPr="006F0073">
              <w:rPr>
                <w:rFonts w:ascii="Times New Roman" w:hAnsi="Times New Roman"/>
                <w:spacing w:val="-2"/>
              </w:rPr>
              <w:t>W okresie przejściowym, tzn. do dnia 31 grudnia 2017 roku, lotniska certyfikowane będą mogły przedłużać ważność certyfikatu na podstawie przepisów krajowych, o których mowa w art. 59a ust. 1 pkt. 2 i ust. 5. W tym czasie jednakże będą musiały przejść proces certyfikacji potwierdzającej spełnianie wymagań, o których mowa w art. 59a ust. 1 pkt. 1</w:t>
            </w:r>
            <w:r>
              <w:rPr>
                <w:rFonts w:ascii="Times New Roman" w:hAnsi="Times New Roman"/>
                <w:spacing w:val="-2"/>
              </w:rPr>
              <w:t>.</w:t>
            </w:r>
            <w:r w:rsidRPr="006F0073">
              <w:rPr>
                <w:rFonts w:ascii="Times New Roman" w:hAnsi="Times New Roman"/>
                <w:spacing w:val="-2"/>
              </w:rPr>
              <w:t xml:space="preserve"> </w:t>
            </w:r>
          </w:p>
          <w:p w:rsidR="00135501" w:rsidRPr="006F0073" w:rsidRDefault="00135501" w:rsidP="00F41B81">
            <w:pPr>
              <w:spacing w:line="240" w:lineRule="auto"/>
              <w:jc w:val="both"/>
              <w:rPr>
                <w:rFonts w:ascii="Times New Roman" w:hAnsi="Times New Roman"/>
                <w:spacing w:val="-2"/>
                <w:highlight w:val="yellow"/>
              </w:rPr>
            </w:pPr>
            <w:r w:rsidRPr="006F0073">
              <w:rPr>
                <w:rFonts w:ascii="Times New Roman" w:hAnsi="Times New Roman"/>
                <w:spacing w:val="-2"/>
              </w:rPr>
              <w:t>Pełne wykonanie ustawy nastąpi po wejściu w życie ww. przepisów UE, a także aktów wykonawczych do ustawy – (delegacja do wydania rozporządzenia, które ma na celu realizację zadań wynikających z art. 8-10 rozporządzenia UE 139/2014, zmiany niezbędnych rozporządzeń m.in. z art. 59a, 85, 92, 163, 187a oraz pełnego i skutecznego wdrożenia wymagań UE zarówno przez Urząd Lotnictwa Cywilnego jak i przez zarządzających lotniskami (zagadnienia te dotyczą m.in. systemu konsultacji i monitorowania otoczenia lotniska, w tym nie tylko przeszkód lotniczych, ale także zagospodarowania gruntów, zagrożeń powodowanych przez zwierzęta, organizacji systemu zgłaszania, gromadzenia, analizowania i rozpowszechniania informacji o bezpieczeństwie, oraz sposobu zgłaszania i zatwierdzania zmian na lotnisku). Efektywność określenia wymagań zostanie zweryfikowana przez EASA po 31 grudnia 2017 roku.</w:t>
            </w:r>
            <w:r>
              <w:rPr>
                <w:rFonts w:ascii="Times New Roman" w:hAnsi="Times New Roman"/>
                <w:spacing w:val="-2"/>
                <w:highlight w:val="yellow"/>
              </w:rPr>
              <w:t xml:space="preserve">  </w:t>
            </w:r>
          </w:p>
          <w:p w:rsidR="00135501" w:rsidRPr="00B37C80" w:rsidRDefault="00135501" w:rsidP="00F41B81">
            <w:pPr>
              <w:spacing w:line="240" w:lineRule="auto"/>
              <w:jc w:val="both"/>
              <w:rPr>
                <w:rFonts w:ascii="Times New Roman" w:hAnsi="Times New Roman"/>
                <w:spacing w:val="-2"/>
              </w:rPr>
            </w:pPr>
          </w:p>
        </w:tc>
      </w:tr>
      <w:tr w:rsidR="00135501" w:rsidRPr="008B4FE6" w:rsidTr="00676C8D">
        <w:trPr>
          <w:gridAfter w:val="1"/>
          <w:wAfter w:w="10" w:type="dxa"/>
          <w:trHeight w:val="142"/>
        </w:trPr>
        <w:tc>
          <w:tcPr>
            <w:tcW w:w="10937" w:type="dxa"/>
            <w:gridSpan w:val="29"/>
            <w:shd w:val="clear" w:color="auto" w:fill="99CCFF"/>
          </w:tcPr>
          <w:p w:rsidR="00135501" w:rsidRPr="008B4FE6" w:rsidRDefault="00135501" w:rsidP="00F41B81">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135501" w:rsidRPr="008B4FE6" w:rsidTr="00676C8D">
        <w:trPr>
          <w:gridAfter w:val="1"/>
          <w:wAfter w:w="10" w:type="dxa"/>
          <w:trHeight w:val="142"/>
        </w:trPr>
        <w:tc>
          <w:tcPr>
            <w:tcW w:w="10937" w:type="dxa"/>
            <w:gridSpan w:val="29"/>
            <w:shd w:val="clear" w:color="auto" w:fill="FFFFFF"/>
          </w:tcPr>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Ochrona lotnictwa cywilnego:</w:t>
            </w:r>
          </w:p>
          <w:p w:rsidR="00135501" w:rsidRDefault="00135501" w:rsidP="00F41B81">
            <w:pPr>
              <w:spacing w:line="240" w:lineRule="auto"/>
              <w:jc w:val="both"/>
              <w:rPr>
                <w:rFonts w:ascii="Times New Roman" w:hAnsi="Times New Roman"/>
                <w:spacing w:val="-2"/>
              </w:rPr>
            </w:pPr>
            <w:r w:rsidRPr="008D423F">
              <w:rPr>
                <w:rFonts w:ascii="Times New Roman" w:hAnsi="Times New Roman"/>
                <w:spacing w:val="-2"/>
              </w:rPr>
              <w:t>Ewaluacja wyżej wymienionych zmian w przepisach nastąpi po 3 latach od ich wprowadzenia. Zostanie ona dokonana poprzez porównanie skali naruszeń przepisów oraz wpływów pieniężnych z tytułu nałożonych kar. Pod uwagę wzięte zostaną: stan z roku poprzedzającego wprowadzenie zmian oraz stan z każdego roku kalendarzowego od momentu nowelizacji do dnia ewaluacji (katalog kar).</w:t>
            </w:r>
          </w:p>
          <w:p w:rsidR="00135501" w:rsidRPr="008D423F" w:rsidRDefault="00135501" w:rsidP="00AF797A">
            <w:pPr>
              <w:spacing w:line="240" w:lineRule="auto"/>
              <w:jc w:val="both"/>
              <w:rPr>
                <w:rFonts w:ascii="Times New Roman" w:hAnsi="Times New Roman"/>
                <w:spacing w:val="-2"/>
              </w:rPr>
            </w:pPr>
            <w:r w:rsidRPr="008D423F">
              <w:rPr>
                <w:rFonts w:ascii="Times New Roman" w:hAnsi="Times New Roman"/>
                <w:spacing w:val="-2"/>
              </w:rPr>
              <w:t>Ewaluacja wyżej wymienionych zmian w przepisach nastąpi po 3 latach od ich wprowadzenia. Zostanie ona dokonana poprzez sprawdzenie czasu realizacji sprawy, liczby wyznaczonych UPZ oraz skali nieprawidłowości w wykonywaniu przez nich zadań (aby zrewidować, czy sprawdzenie przeszłości było skuteczne). Pod uwagę wzięte zostaną: stan z każdego roku kalendarzowego od momentu nowelizacji do dnia ewaluacji (wyznaczenie UPZ).</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Ewaluacja wyżej wymienionych zmian w przepisach nastąpi po 5 latach od ich wprowadzenia. Zostanie ona dokonana poprzez sprawdzenie czasu ilości wyznaczeń dla UPZ oraz liczbie dokonanych wizji lokalnych w procesie walidacji ACC3 oraz RA3. Ponadto, ocenie poddana zostanie wysokość rzeczywistych kosztów, przede wszystkim związanych z wyjazdami służbowymi w celach przeprowadzenia ww. wizji lokalnej.</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Transport lotniczy:</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 xml:space="preserve">W okresie roku po wejściu w życie zmiany ustawy – brak toczących się postępowań w Komisji Europejskiej w zakresie niezgodności prawa polskiego z prawem UE (w tym umorzenie postępowań wszczętych przed wejściem w życie </w:t>
            </w:r>
            <w:r w:rsidRPr="008D423F">
              <w:rPr>
                <w:rFonts w:ascii="Times New Roman" w:hAnsi="Times New Roman"/>
                <w:spacing w:val="-2"/>
              </w:rPr>
              <w:lastRenderedPageBreak/>
              <w:t>nowelizacji ustawy). W zakresie poprawy punktualności przewoźników lotniczych</w:t>
            </w:r>
            <w:r>
              <w:rPr>
                <w:rFonts w:ascii="Times New Roman" w:hAnsi="Times New Roman"/>
                <w:spacing w:val="-2"/>
              </w:rPr>
              <w:t>,</w:t>
            </w:r>
            <w:r w:rsidRPr="008D423F">
              <w:rPr>
                <w:rFonts w:ascii="Times New Roman" w:hAnsi="Times New Roman"/>
                <w:spacing w:val="-2"/>
              </w:rPr>
              <w:t xml:space="preserve"> ewaluacja nastąpi po wejściu w życie nowelizacji i upowszechnieniu na rynku przewoźników lotniczych wiedzy w zakresie nowych narzędzi Prezesa ULC w postaci możliwości nakładania sankcji. Zmniejszenie liczby skarg, zapytań pasażerów w zakresie konstruowania przez przewoźników oferty taryfowej będzie miernikiem w zakresie osiągnięcia celu w postaci zmniejszenie prawdopodobieństwa wprowadzenia pasażera w błąd. Ocena w zakresie finansowania służb żeglugi powietrznej na małych lotniskach nastąpi po podjęciu przez władze Polskie decyzji w sprawie wyłączenia zastosowania przepisów rozporządzeń unijnych do niektórych lotnisk i ustanowieniu opłat dla takich lotnisk, ewentualnie po uruchomieniu nowych lotnisk z zastrzeżeniem, że będzie ona wykonana po upływie roku, dla którego po raz pierwszy skorzystano z odroczenia. </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Ewaluacja efektów nastąpi po upływie dwóch pełnych sezonów operacyjnych od wejścia ustawy w życie. Zostaną zastosowane mierniki jakościowe. Zostaną przeprowadzone wywiady, w ramach których zostanie zbadane zadowolenie z wprowadzonych przepisów</w:t>
            </w:r>
            <w:r>
              <w:rPr>
                <w:rFonts w:ascii="Times New Roman" w:hAnsi="Times New Roman"/>
                <w:spacing w:val="-2"/>
              </w:rPr>
              <w:t xml:space="preserve"> dla</w:t>
            </w:r>
            <w:r w:rsidRPr="008D423F">
              <w:rPr>
                <w:rFonts w:ascii="Times New Roman" w:hAnsi="Times New Roman"/>
                <w:spacing w:val="-2"/>
              </w:rPr>
              <w:t xml:space="preserve"> portów lotniczych, przewoźników lotniczych i koordynatora rozkładów lotów.</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Żegluga powietrzna:</w:t>
            </w:r>
          </w:p>
          <w:p w:rsidR="00135501" w:rsidRPr="008D423F" w:rsidRDefault="00135501" w:rsidP="00B0652A">
            <w:pPr>
              <w:spacing w:line="240" w:lineRule="auto"/>
              <w:jc w:val="both"/>
              <w:rPr>
                <w:rFonts w:ascii="Times New Roman" w:hAnsi="Times New Roman"/>
                <w:spacing w:val="-2"/>
              </w:rPr>
            </w:pPr>
            <w:r w:rsidRPr="00B0652A">
              <w:rPr>
                <w:rFonts w:ascii="Times New Roman" w:hAnsi="Times New Roman"/>
                <w:spacing w:val="-2"/>
              </w:rPr>
              <w:t>Ocena efektów wprowadzonej regulacji w zakresie ustanowienia stref ograniczonej zabudowy będzie weryfikowana w trakcie prowadzenia procesu uzgodnień lokalizacji inwestycji, zaś miernikiem będzie poprawność funkcjonowania lotniczych urządzeń naziemnych.</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Operacje lotnicze:</w:t>
            </w:r>
          </w:p>
          <w:p w:rsidR="00135501" w:rsidRPr="008D423F" w:rsidRDefault="00135501" w:rsidP="00F41B81">
            <w:pPr>
              <w:spacing w:line="240" w:lineRule="auto"/>
              <w:jc w:val="both"/>
              <w:rPr>
                <w:rFonts w:ascii="Times New Roman" w:hAnsi="Times New Roman"/>
                <w:spacing w:val="-2"/>
              </w:rPr>
            </w:pPr>
            <w:r w:rsidRPr="008D423F">
              <w:rPr>
                <w:rFonts w:ascii="Times New Roman" w:hAnsi="Times New Roman"/>
                <w:spacing w:val="-2"/>
              </w:rPr>
              <w:t>Ocena efektów projektu w zakresie operacji lotniczych będzie następować w trakcie wykonywania bieżącego nadzoru nad podmiotami. Miernik stanowić będzie ilość stwierdzonych niezgodności u tych podmiotów w odniesieniu do wymogów przepisów prawa unijnego.</w:t>
            </w:r>
          </w:p>
          <w:p w:rsidR="00135501" w:rsidRPr="008D423F" w:rsidRDefault="00135501" w:rsidP="00F41B81">
            <w:pPr>
              <w:spacing w:line="240" w:lineRule="auto"/>
              <w:jc w:val="both"/>
              <w:rPr>
                <w:rFonts w:ascii="Times New Roman" w:hAnsi="Times New Roman"/>
                <w:spacing w:val="-2"/>
                <w:u w:val="single"/>
              </w:rPr>
            </w:pPr>
            <w:r w:rsidRPr="008D423F">
              <w:rPr>
                <w:rFonts w:ascii="Times New Roman" w:hAnsi="Times New Roman"/>
                <w:spacing w:val="-2"/>
                <w:u w:val="single"/>
              </w:rPr>
              <w:t>Technika lotnicza:</w:t>
            </w:r>
          </w:p>
          <w:p w:rsidR="00135501" w:rsidRDefault="00135501" w:rsidP="00F41B81">
            <w:pPr>
              <w:spacing w:line="240" w:lineRule="auto"/>
              <w:jc w:val="both"/>
              <w:rPr>
                <w:rFonts w:ascii="Times New Roman" w:hAnsi="Times New Roman"/>
                <w:spacing w:val="-2"/>
              </w:rPr>
            </w:pPr>
            <w:r w:rsidRPr="008D423F">
              <w:rPr>
                <w:rFonts w:ascii="Times New Roman" w:hAnsi="Times New Roman"/>
                <w:spacing w:val="-2"/>
              </w:rPr>
              <w:t>Ocena efektów projektu będzie następować w trakcie bieżącego prowadzenia rejestru cywilnych statków powietrznych, zaś miernikiem będzie ilość składanych wniosków o wpis do rejestru cywilnych statków powietrznych.</w:t>
            </w:r>
          </w:p>
          <w:p w:rsidR="00135501" w:rsidRPr="006F0073" w:rsidRDefault="00135501" w:rsidP="00F41B81">
            <w:pPr>
              <w:spacing w:line="240" w:lineRule="auto"/>
              <w:jc w:val="both"/>
              <w:rPr>
                <w:rFonts w:ascii="Times New Roman" w:hAnsi="Times New Roman"/>
                <w:spacing w:val="-2"/>
                <w:u w:val="single"/>
              </w:rPr>
            </w:pPr>
            <w:r w:rsidRPr="006F0073">
              <w:rPr>
                <w:rFonts w:ascii="Times New Roman" w:hAnsi="Times New Roman"/>
                <w:spacing w:val="-2"/>
                <w:u w:val="single"/>
              </w:rPr>
              <w:t>Lotniska:</w:t>
            </w:r>
          </w:p>
          <w:p w:rsidR="00135501" w:rsidRPr="00B37C80" w:rsidRDefault="00135501" w:rsidP="00F41B81">
            <w:pPr>
              <w:spacing w:line="240" w:lineRule="auto"/>
              <w:jc w:val="both"/>
              <w:rPr>
                <w:rFonts w:ascii="Times New Roman" w:hAnsi="Times New Roman"/>
                <w:color w:val="000000"/>
                <w:spacing w:val="-2"/>
              </w:rPr>
            </w:pPr>
            <w:r w:rsidRPr="006F0073">
              <w:rPr>
                <w:rFonts w:ascii="Times New Roman" w:hAnsi="Times New Roman"/>
                <w:spacing w:val="-2"/>
              </w:rPr>
              <w:t>Ocena efektów projektu możliwa będzie do wykonania po wydaniu przez ULC certyfikatów zgodnie z wymaganiami określonymi w rozporządzeniu 139/2014 oraz Decyzjach Dyrektora Wykonawczego EASA nr 2014/012/R oraz 2014/013/R określających wymagania szczegółowe (CS, AMC). ULC spodziewa się audytu standaryzacyjnego EASA, mającego na celu ocenę spełnienia wymagań przez władzę lotniczą, tj. nie wcześniej niż przed 1 stycznia 2018 roku (okres przejściowy wynikający z prawa UE).</w:t>
            </w:r>
            <w:r>
              <w:rPr>
                <w:rFonts w:ascii="Times New Roman" w:hAnsi="Times New Roman"/>
                <w:spacing w:val="-2"/>
              </w:rPr>
              <w:t xml:space="preserve"> W zakresie zabezpieczenia otoczenia lotniska przed przeszkodami lotniczymi ewaluacja nastąpi po 2 latach od wejścia w życie ustawy i przekazania przewidzianych kompetencji zarządzającemu lotniskiem i starostom, nie wcześniej niż po upływie okresu przejściowego na wdrożenie rozporządzenia 139/2014.</w:t>
            </w:r>
          </w:p>
          <w:p w:rsidR="00135501" w:rsidRPr="00B37C80" w:rsidRDefault="00135501" w:rsidP="00F41B81">
            <w:pPr>
              <w:spacing w:line="240" w:lineRule="auto"/>
              <w:jc w:val="both"/>
              <w:rPr>
                <w:rFonts w:ascii="Times New Roman" w:hAnsi="Times New Roman"/>
                <w:color w:val="000000"/>
                <w:spacing w:val="-2"/>
              </w:rPr>
            </w:pPr>
          </w:p>
        </w:tc>
      </w:tr>
      <w:tr w:rsidR="00135501" w:rsidRPr="008B4FE6" w:rsidTr="00676C8D">
        <w:trPr>
          <w:gridAfter w:val="1"/>
          <w:wAfter w:w="10" w:type="dxa"/>
          <w:trHeight w:val="142"/>
        </w:trPr>
        <w:tc>
          <w:tcPr>
            <w:tcW w:w="10937" w:type="dxa"/>
            <w:gridSpan w:val="29"/>
            <w:shd w:val="clear" w:color="auto" w:fill="99CCFF"/>
          </w:tcPr>
          <w:p w:rsidR="00135501" w:rsidRPr="008B4FE6" w:rsidRDefault="00135501" w:rsidP="00F41B81">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lastRenderedPageBreak/>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135501" w:rsidRPr="00540B19" w:rsidTr="00676C8D">
        <w:trPr>
          <w:gridAfter w:val="1"/>
          <w:wAfter w:w="10" w:type="dxa"/>
          <w:trHeight w:val="142"/>
        </w:trPr>
        <w:tc>
          <w:tcPr>
            <w:tcW w:w="10937" w:type="dxa"/>
            <w:gridSpan w:val="29"/>
            <w:shd w:val="clear" w:color="auto" w:fill="FFFFFF"/>
          </w:tcPr>
          <w:p w:rsidR="00135501" w:rsidRPr="008D423F" w:rsidRDefault="00135501" w:rsidP="00F41B81">
            <w:pPr>
              <w:keepNext/>
              <w:keepLines/>
              <w:spacing w:line="240" w:lineRule="auto"/>
              <w:jc w:val="both"/>
              <w:outlineLvl w:val="1"/>
              <w:rPr>
                <w:rFonts w:ascii="Times New Roman" w:hAnsi="Times New Roman"/>
                <w:spacing w:val="-2"/>
                <w:u w:val="single"/>
                <w:lang w:val="en-US"/>
              </w:rPr>
            </w:pPr>
            <w:r>
              <w:rPr>
                <w:rFonts w:ascii="Times New Roman" w:hAnsi="Times New Roman"/>
                <w:spacing w:val="-2"/>
                <w:u w:val="single"/>
                <w:lang w:val="en-US"/>
              </w:rPr>
              <w:t>Transport lotniczy</w:t>
            </w:r>
            <w:r w:rsidRPr="008D423F">
              <w:rPr>
                <w:rFonts w:ascii="Times New Roman" w:hAnsi="Times New Roman"/>
                <w:spacing w:val="-2"/>
                <w:u w:val="single"/>
                <w:lang w:val="en-US"/>
              </w:rPr>
              <w:t>:</w:t>
            </w:r>
          </w:p>
          <w:p w:rsidR="00135501" w:rsidRPr="008D423F" w:rsidRDefault="00B50453" w:rsidP="00B50453">
            <w:pPr>
              <w:autoSpaceDE w:val="0"/>
              <w:autoSpaceDN w:val="0"/>
              <w:jc w:val="both"/>
              <w:rPr>
                <w:rFonts w:ascii="Times New Roman" w:hAnsi="Times New Roman"/>
                <w:spacing w:val="-2"/>
                <w:lang w:val="en-GB"/>
              </w:rPr>
            </w:pPr>
            <w:r w:rsidRPr="00B50453">
              <w:rPr>
                <w:rFonts w:ascii="Times New Roman" w:hAnsi="Times New Roman"/>
                <w:spacing w:val="-2"/>
                <w:sz w:val="24"/>
                <w:szCs w:val="24"/>
                <w:lang w:val="en-GB"/>
              </w:rPr>
              <w:t xml:space="preserve">Overview of  Terminal ANS Costs and Charges (2009-2014) for States participating in the SES Performance Scheme. </w:t>
            </w:r>
          </w:p>
          <w:p w:rsidR="00B50453" w:rsidRPr="00B50453" w:rsidRDefault="00EE1C80" w:rsidP="00B50453">
            <w:pPr>
              <w:rPr>
                <w:color w:val="1F497D"/>
                <w:lang w:val="en-GB"/>
              </w:rPr>
            </w:pPr>
            <w:hyperlink r:id="rId8" w:history="1">
              <w:r w:rsidR="00B50453" w:rsidRPr="00B50453">
                <w:rPr>
                  <w:rStyle w:val="Hipercze"/>
                  <w:lang w:val="en-GB"/>
                </w:rPr>
                <w:t>http://www.eurocontrol.int/sites/default/files/content/documents/single-sky/pru/publications/other/TNC-Overview-Nov2013.pdf</w:t>
              </w:r>
            </w:hyperlink>
          </w:p>
          <w:p w:rsidR="00135501" w:rsidRPr="008D423F" w:rsidRDefault="00135501" w:rsidP="00F41B81">
            <w:pPr>
              <w:keepNext/>
              <w:keepLines/>
              <w:spacing w:line="240" w:lineRule="auto"/>
              <w:jc w:val="both"/>
              <w:outlineLvl w:val="1"/>
              <w:rPr>
                <w:rFonts w:ascii="Times New Roman" w:hAnsi="Times New Roman"/>
                <w:lang w:val="en-GB"/>
              </w:rPr>
            </w:pPr>
          </w:p>
          <w:p w:rsidR="00135501" w:rsidRPr="00540B19" w:rsidRDefault="00135501" w:rsidP="00F41B81">
            <w:pPr>
              <w:spacing w:line="240" w:lineRule="auto"/>
              <w:jc w:val="both"/>
              <w:rPr>
                <w:rFonts w:ascii="Times New Roman" w:hAnsi="Times New Roman"/>
                <w:color w:val="000000"/>
                <w:spacing w:val="-2"/>
              </w:rPr>
            </w:pPr>
            <w:r w:rsidRPr="00540B19">
              <w:rPr>
                <w:rFonts w:ascii="Times New Roman" w:hAnsi="Times New Roman"/>
                <w:color w:val="000000"/>
                <w:spacing w:val="-2"/>
              </w:rPr>
              <w:t>Lista podmiotów</w:t>
            </w:r>
            <w:r w:rsidR="00A81792">
              <w:rPr>
                <w:rFonts w:ascii="Times New Roman" w:hAnsi="Times New Roman"/>
                <w:color w:val="000000"/>
                <w:spacing w:val="-2"/>
              </w:rPr>
              <w:t xml:space="preserve">, do których zostanie skierowany projekt </w:t>
            </w:r>
            <w:r w:rsidRPr="00540B19">
              <w:rPr>
                <w:rFonts w:ascii="Times New Roman" w:hAnsi="Times New Roman"/>
                <w:color w:val="000000"/>
                <w:spacing w:val="-2"/>
              </w:rPr>
              <w:t>w ramach konsultacji publicznych.</w:t>
            </w:r>
          </w:p>
          <w:p w:rsidR="00135501" w:rsidRPr="00540B19" w:rsidRDefault="00135501" w:rsidP="00F41B81">
            <w:pPr>
              <w:spacing w:line="240" w:lineRule="auto"/>
              <w:jc w:val="both"/>
              <w:rPr>
                <w:rFonts w:ascii="Times New Roman" w:hAnsi="Times New Roman"/>
                <w:color w:val="000000"/>
                <w:spacing w:val="-2"/>
              </w:rPr>
            </w:pPr>
          </w:p>
        </w:tc>
      </w:tr>
    </w:tbl>
    <w:p w:rsidR="006176ED" w:rsidRPr="00522D94" w:rsidRDefault="006176ED" w:rsidP="00787A82">
      <w:pPr>
        <w:pStyle w:val="Nagwek1"/>
        <w:jc w:val="both"/>
        <w:rPr>
          <w:rFonts w:ascii="Times New Roman" w:hAnsi="Times New Roman"/>
          <w:sz w:val="20"/>
          <w:szCs w:val="20"/>
        </w:rPr>
      </w:pPr>
    </w:p>
    <w:sectPr w:rsidR="006176ED" w:rsidRPr="00522D94" w:rsidSect="00B0652A">
      <w:pgSz w:w="11906" w:h="16838"/>
      <w:pgMar w:top="568" w:right="707" w:bottom="568" w:left="720"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038" w:rsidRDefault="00527038" w:rsidP="00044739">
      <w:pPr>
        <w:spacing w:line="240" w:lineRule="auto"/>
      </w:pPr>
      <w:r>
        <w:separator/>
      </w:r>
    </w:p>
  </w:endnote>
  <w:endnote w:type="continuationSeparator" w:id="0">
    <w:p w:rsidR="00527038" w:rsidRDefault="00527038" w:rsidP="000447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Calibri">
    <w:altName w:val="Times New Roman"/>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038" w:rsidRDefault="00527038" w:rsidP="00044739">
      <w:pPr>
        <w:spacing w:line="240" w:lineRule="auto"/>
      </w:pPr>
      <w:r>
        <w:separator/>
      </w:r>
    </w:p>
  </w:footnote>
  <w:footnote w:type="continuationSeparator" w:id="0">
    <w:p w:rsidR="00527038" w:rsidRDefault="00527038" w:rsidP="0004473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7">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0228CB"/>
    <w:multiLevelType w:val="hybridMultilevel"/>
    <w:tmpl w:val="CD4A1F68"/>
    <w:lvl w:ilvl="0" w:tplc="54A221A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1">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2">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4">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5">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6">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8">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nsid w:val="6EF0480B"/>
    <w:multiLevelType w:val="hybridMultilevel"/>
    <w:tmpl w:val="47FABF2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9"/>
  </w:num>
  <w:num w:numId="4">
    <w:abstractNumId w:val="18"/>
  </w:num>
  <w:num w:numId="5">
    <w:abstractNumId w:val="1"/>
  </w:num>
  <w:num w:numId="6">
    <w:abstractNumId w:val="7"/>
  </w:num>
  <w:num w:numId="7">
    <w:abstractNumId w:val="12"/>
  </w:num>
  <w:num w:numId="8">
    <w:abstractNumId w:val="4"/>
  </w:num>
  <w:num w:numId="9">
    <w:abstractNumId w:val="14"/>
  </w:num>
  <w:num w:numId="10">
    <w:abstractNumId w:val="11"/>
  </w:num>
  <w:num w:numId="11">
    <w:abstractNumId w:val="13"/>
  </w:num>
  <w:num w:numId="12">
    <w:abstractNumId w:val="2"/>
  </w:num>
  <w:num w:numId="13">
    <w:abstractNumId w:val="10"/>
  </w:num>
  <w:num w:numId="14">
    <w:abstractNumId w:val="19"/>
  </w:num>
  <w:num w:numId="15">
    <w:abstractNumId w:val="15"/>
  </w:num>
  <w:num w:numId="16">
    <w:abstractNumId w:val="17"/>
  </w:num>
  <w:num w:numId="17">
    <w:abstractNumId w:val="5"/>
  </w:num>
  <w:num w:numId="18">
    <w:abstractNumId w:val="21"/>
  </w:num>
  <w:num w:numId="19">
    <w:abstractNumId w:val="22"/>
  </w:num>
  <w:num w:numId="20">
    <w:abstractNumId w:val="16"/>
  </w:num>
  <w:num w:numId="21">
    <w:abstractNumId w:val="6"/>
  </w:num>
  <w:num w:numId="22">
    <w:abstractNumId w:val="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7646CB"/>
    <w:rsid w:val="000008E5"/>
    <w:rsid w:val="000015EE"/>
    <w:rsid w:val="000022D5"/>
    <w:rsid w:val="00004C6A"/>
    <w:rsid w:val="00011ECE"/>
    <w:rsid w:val="00012D11"/>
    <w:rsid w:val="00013EB5"/>
    <w:rsid w:val="00023836"/>
    <w:rsid w:val="000356A9"/>
    <w:rsid w:val="00044138"/>
    <w:rsid w:val="00044739"/>
    <w:rsid w:val="00051637"/>
    <w:rsid w:val="00056681"/>
    <w:rsid w:val="000648A7"/>
    <w:rsid w:val="0006618B"/>
    <w:rsid w:val="000670C0"/>
    <w:rsid w:val="00071B99"/>
    <w:rsid w:val="000756E5"/>
    <w:rsid w:val="0007704E"/>
    <w:rsid w:val="00080EC8"/>
    <w:rsid w:val="000869AC"/>
    <w:rsid w:val="000944AC"/>
    <w:rsid w:val="00094CB9"/>
    <w:rsid w:val="00094EAD"/>
    <w:rsid w:val="000956B2"/>
    <w:rsid w:val="000969E7"/>
    <w:rsid w:val="000A23DE"/>
    <w:rsid w:val="000A4020"/>
    <w:rsid w:val="000A76F7"/>
    <w:rsid w:val="000B54FB"/>
    <w:rsid w:val="000C29B0"/>
    <w:rsid w:val="000C2E0A"/>
    <w:rsid w:val="000C76FC"/>
    <w:rsid w:val="000D38FC"/>
    <w:rsid w:val="000D4D90"/>
    <w:rsid w:val="000E2D10"/>
    <w:rsid w:val="000F3204"/>
    <w:rsid w:val="0010548B"/>
    <w:rsid w:val="001072D1"/>
    <w:rsid w:val="00117017"/>
    <w:rsid w:val="00130E8E"/>
    <w:rsid w:val="0013216E"/>
    <w:rsid w:val="00135501"/>
    <w:rsid w:val="001401B5"/>
    <w:rsid w:val="001422B9"/>
    <w:rsid w:val="0014665F"/>
    <w:rsid w:val="00153464"/>
    <w:rsid w:val="001541B3"/>
    <w:rsid w:val="00155B15"/>
    <w:rsid w:val="001625BE"/>
    <w:rsid w:val="001643A4"/>
    <w:rsid w:val="00164BDA"/>
    <w:rsid w:val="001727BB"/>
    <w:rsid w:val="00180D25"/>
    <w:rsid w:val="0018318D"/>
    <w:rsid w:val="0018572C"/>
    <w:rsid w:val="00187E79"/>
    <w:rsid w:val="00187F0D"/>
    <w:rsid w:val="00192CC5"/>
    <w:rsid w:val="00193A8A"/>
    <w:rsid w:val="001956A7"/>
    <w:rsid w:val="001A118A"/>
    <w:rsid w:val="001A27F4"/>
    <w:rsid w:val="001A2D95"/>
    <w:rsid w:val="001B3460"/>
    <w:rsid w:val="001B4CA1"/>
    <w:rsid w:val="001B75D8"/>
    <w:rsid w:val="001C1060"/>
    <w:rsid w:val="001C3C63"/>
    <w:rsid w:val="001C5924"/>
    <w:rsid w:val="001D4732"/>
    <w:rsid w:val="001D6A3C"/>
    <w:rsid w:val="001D6D51"/>
    <w:rsid w:val="001F653A"/>
    <w:rsid w:val="001F6979"/>
    <w:rsid w:val="00202BC6"/>
    <w:rsid w:val="00205141"/>
    <w:rsid w:val="0020516B"/>
    <w:rsid w:val="00213559"/>
    <w:rsid w:val="00213EFD"/>
    <w:rsid w:val="002172F1"/>
    <w:rsid w:val="00223C7B"/>
    <w:rsid w:val="00224AB1"/>
    <w:rsid w:val="0022687A"/>
    <w:rsid w:val="00230728"/>
    <w:rsid w:val="00234040"/>
    <w:rsid w:val="00235CD2"/>
    <w:rsid w:val="002375B2"/>
    <w:rsid w:val="00254404"/>
    <w:rsid w:val="00254DED"/>
    <w:rsid w:val="00255619"/>
    <w:rsid w:val="00255DAD"/>
    <w:rsid w:val="00256108"/>
    <w:rsid w:val="00260F33"/>
    <w:rsid w:val="002613BD"/>
    <w:rsid w:val="002624F1"/>
    <w:rsid w:val="00270C81"/>
    <w:rsid w:val="00271558"/>
    <w:rsid w:val="00274862"/>
    <w:rsid w:val="00282D72"/>
    <w:rsid w:val="00283402"/>
    <w:rsid w:val="00290FD6"/>
    <w:rsid w:val="00294259"/>
    <w:rsid w:val="002A2C81"/>
    <w:rsid w:val="002B3D1A"/>
    <w:rsid w:val="002C27D0"/>
    <w:rsid w:val="002C2C9B"/>
    <w:rsid w:val="002D17D6"/>
    <w:rsid w:val="002D18D7"/>
    <w:rsid w:val="002D21CE"/>
    <w:rsid w:val="002E3DA3"/>
    <w:rsid w:val="002E450F"/>
    <w:rsid w:val="002E6B38"/>
    <w:rsid w:val="002E6D63"/>
    <w:rsid w:val="002E6E2B"/>
    <w:rsid w:val="002F500B"/>
    <w:rsid w:val="00300991"/>
    <w:rsid w:val="00301959"/>
    <w:rsid w:val="00304AAA"/>
    <w:rsid w:val="00305B8A"/>
    <w:rsid w:val="00323CCA"/>
    <w:rsid w:val="00331BF9"/>
    <w:rsid w:val="0033495E"/>
    <w:rsid w:val="00334A79"/>
    <w:rsid w:val="00334D8D"/>
    <w:rsid w:val="00337345"/>
    <w:rsid w:val="00337DD2"/>
    <w:rsid w:val="003404D1"/>
    <w:rsid w:val="003443FF"/>
    <w:rsid w:val="00347BA9"/>
    <w:rsid w:val="00355808"/>
    <w:rsid w:val="00362C7E"/>
    <w:rsid w:val="00363309"/>
    <w:rsid w:val="00363601"/>
    <w:rsid w:val="00376AC9"/>
    <w:rsid w:val="00393032"/>
    <w:rsid w:val="0039448B"/>
    <w:rsid w:val="00394B69"/>
    <w:rsid w:val="00397078"/>
    <w:rsid w:val="003A6953"/>
    <w:rsid w:val="003B6083"/>
    <w:rsid w:val="003C3838"/>
    <w:rsid w:val="003C5847"/>
    <w:rsid w:val="003D0681"/>
    <w:rsid w:val="003D12F6"/>
    <w:rsid w:val="003D1426"/>
    <w:rsid w:val="003E2F4E"/>
    <w:rsid w:val="003E720A"/>
    <w:rsid w:val="00403E6E"/>
    <w:rsid w:val="00404CC3"/>
    <w:rsid w:val="004129B4"/>
    <w:rsid w:val="00417EF0"/>
    <w:rsid w:val="00422181"/>
    <w:rsid w:val="004244A8"/>
    <w:rsid w:val="00425F72"/>
    <w:rsid w:val="00427736"/>
    <w:rsid w:val="00436202"/>
    <w:rsid w:val="00441787"/>
    <w:rsid w:val="00444F2D"/>
    <w:rsid w:val="00452034"/>
    <w:rsid w:val="00455FA6"/>
    <w:rsid w:val="00466C70"/>
    <w:rsid w:val="004702C9"/>
    <w:rsid w:val="00472E45"/>
    <w:rsid w:val="00473FEA"/>
    <w:rsid w:val="0047579D"/>
    <w:rsid w:val="00483262"/>
    <w:rsid w:val="004838F1"/>
    <w:rsid w:val="00484107"/>
    <w:rsid w:val="00485CC5"/>
    <w:rsid w:val="0049343F"/>
    <w:rsid w:val="00494FBA"/>
    <w:rsid w:val="004964FC"/>
    <w:rsid w:val="004A145E"/>
    <w:rsid w:val="004A1F15"/>
    <w:rsid w:val="004A2A81"/>
    <w:rsid w:val="004A50F9"/>
    <w:rsid w:val="004A7BD7"/>
    <w:rsid w:val="004C15C2"/>
    <w:rsid w:val="004C36D8"/>
    <w:rsid w:val="004C52AB"/>
    <w:rsid w:val="004D1248"/>
    <w:rsid w:val="004D1E3C"/>
    <w:rsid w:val="004D4169"/>
    <w:rsid w:val="004D6E14"/>
    <w:rsid w:val="004F4E17"/>
    <w:rsid w:val="0050082F"/>
    <w:rsid w:val="00500C56"/>
    <w:rsid w:val="00501713"/>
    <w:rsid w:val="00506568"/>
    <w:rsid w:val="0051551B"/>
    <w:rsid w:val="00520C57"/>
    <w:rsid w:val="00522D94"/>
    <w:rsid w:val="00527038"/>
    <w:rsid w:val="00533D89"/>
    <w:rsid w:val="00536564"/>
    <w:rsid w:val="00540B19"/>
    <w:rsid w:val="00544597"/>
    <w:rsid w:val="00544FFE"/>
    <w:rsid w:val="00546A9F"/>
    <w:rsid w:val="005473F5"/>
    <w:rsid w:val="005477E7"/>
    <w:rsid w:val="00552794"/>
    <w:rsid w:val="00563199"/>
    <w:rsid w:val="00564874"/>
    <w:rsid w:val="00567963"/>
    <w:rsid w:val="0057009A"/>
    <w:rsid w:val="00571260"/>
    <w:rsid w:val="0057189C"/>
    <w:rsid w:val="00573FC1"/>
    <w:rsid w:val="005741EE"/>
    <w:rsid w:val="0057668E"/>
    <w:rsid w:val="00591D3D"/>
    <w:rsid w:val="00595E83"/>
    <w:rsid w:val="00596530"/>
    <w:rsid w:val="005967F3"/>
    <w:rsid w:val="005A06DF"/>
    <w:rsid w:val="005A5527"/>
    <w:rsid w:val="005A5AE6"/>
    <w:rsid w:val="005B1206"/>
    <w:rsid w:val="005B37E8"/>
    <w:rsid w:val="005B7371"/>
    <w:rsid w:val="005C0056"/>
    <w:rsid w:val="005D61D6"/>
    <w:rsid w:val="005E0D13"/>
    <w:rsid w:val="005E5047"/>
    <w:rsid w:val="005E7205"/>
    <w:rsid w:val="005E7371"/>
    <w:rsid w:val="005F116C"/>
    <w:rsid w:val="005F2131"/>
    <w:rsid w:val="005F2E38"/>
    <w:rsid w:val="005F7C1E"/>
    <w:rsid w:val="00605EF6"/>
    <w:rsid w:val="00606455"/>
    <w:rsid w:val="00614929"/>
    <w:rsid w:val="00616511"/>
    <w:rsid w:val="006176ED"/>
    <w:rsid w:val="006202F3"/>
    <w:rsid w:val="0062097A"/>
    <w:rsid w:val="00621DA6"/>
    <w:rsid w:val="00623CFE"/>
    <w:rsid w:val="00627221"/>
    <w:rsid w:val="00627EE8"/>
    <w:rsid w:val="006316FA"/>
    <w:rsid w:val="006370D2"/>
    <w:rsid w:val="0064074F"/>
    <w:rsid w:val="00641F55"/>
    <w:rsid w:val="00645E4A"/>
    <w:rsid w:val="00653688"/>
    <w:rsid w:val="0066091B"/>
    <w:rsid w:val="006660E9"/>
    <w:rsid w:val="00667249"/>
    <w:rsid w:val="00667558"/>
    <w:rsid w:val="00671523"/>
    <w:rsid w:val="006754EF"/>
    <w:rsid w:val="00676C8D"/>
    <w:rsid w:val="00676F1F"/>
    <w:rsid w:val="00677381"/>
    <w:rsid w:val="00677414"/>
    <w:rsid w:val="006832CF"/>
    <w:rsid w:val="0068601E"/>
    <w:rsid w:val="0069486B"/>
    <w:rsid w:val="006A4904"/>
    <w:rsid w:val="006A548F"/>
    <w:rsid w:val="006A701A"/>
    <w:rsid w:val="006B64DC"/>
    <w:rsid w:val="006B7A91"/>
    <w:rsid w:val="006D4704"/>
    <w:rsid w:val="006D6A2D"/>
    <w:rsid w:val="006E1E18"/>
    <w:rsid w:val="006E31CE"/>
    <w:rsid w:val="006E34D3"/>
    <w:rsid w:val="006F0073"/>
    <w:rsid w:val="006F1435"/>
    <w:rsid w:val="006F5130"/>
    <w:rsid w:val="006F78C4"/>
    <w:rsid w:val="00702F61"/>
    <w:rsid w:val="007031A0"/>
    <w:rsid w:val="00705A29"/>
    <w:rsid w:val="00707498"/>
    <w:rsid w:val="00711A65"/>
    <w:rsid w:val="00713AC0"/>
    <w:rsid w:val="00714133"/>
    <w:rsid w:val="00714DA4"/>
    <w:rsid w:val="007158B2"/>
    <w:rsid w:val="00716081"/>
    <w:rsid w:val="00722B48"/>
    <w:rsid w:val="00724164"/>
    <w:rsid w:val="00725DE7"/>
    <w:rsid w:val="0072636A"/>
    <w:rsid w:val="00726B44"/>
    <w:rsid w:val="007318DD"/>
    <w:rsid w:val="00733167"/>
    <w:rsid w:val="00740D2C"/>
    <w:rsid w:val="00744BF9"/>
    <w:rsid w:val="00746C06"/>
    <w:rsid w:val="00752623"/>
    <w:rsid w:val="00760F1F"/>
    <w:rsid w:val="0076423E"/>
    <w:rsid w:val="007646CB"/>
    <w:rsid w:val="0076658F"/>
    <w:rsid w:val="0077040A"/>
    <w:rsid w:val="00772D64"/>
    <w:rsid w:val="00781853"/>
    <w:rsid w:val="007821F5"/>
    <w:rsid w:val="00786AC2"/>
    <w:rsid w:val="00787A82"/>
    <w:rsid w:val="00792609"/>
    <w:rsid w:val="00792887"/>
    <w:rsid w:val="007943E2"/>
    <w:rsid w:val="00794F2C"/>
    <w:rsid w:val="007A3BC7"/>
    <w:rsid w:val="007A5AC4"/>
    <w:rsid w:val="007B0FDD"/>
    <w:rsid w:val="007B4802"/>
    <w:rsid w:val="007B6668"/>
    <w:rsid w:val="007B6B33"/>
    <w:rsid w:val="007C2701"/>
    <w:rsid w:val="007C75A2"/>
    <w:rsid w:val="007D2192"/>
    <w:rsid w:val="007F0021"/>
    <w:rsid w:val="007F2F52"/>
    <w:rsid w:val="00801F71"/>
    <w:rsid w:val="00805F28"/>
    <w:rsid w:val="0080749F"/>
    <w:rsid w:val="00811D46"/>
    <w:rsid w:val="008125B0"/>
    <w:rsid w:val="008144CB"/>
    <w:rsid w:val="00821717"/>
    <w:rsid w:val="008234E7"/>
    <w:rsid w:val="00824210"/>
    <w:rsid w:val="008263C0"/>
    <w:rsid w:val="00841422"/>
    <w:rsid w:val="00841D3B"/>
    <w:rsid w:val="0084314C"/>
    <w:rsid w:val="00843171"/>
    <w:rsid w:val="00843CC9"/>
    <w:rsid w:val="00847836"/>
    <w:rsid w:val="00851588"/>
    <w:rsid w:val="008575C3"/>
    <w:rsid w:val="00863D28"/>
    <w:rsid w:val="008648C3"/>
    <w:rsid w:val="00880F26"/>
    <w:rsid w:val="00891626"/>
    <w:rsid w:val="00896C2E"/>
    <w:rsid w:val="008A5095"/>
    <w:rsid w:val="008A608F"/>
    <w:rsid w:val="008B1A9A"/>
    <w:rsid w:val="008B4FE6"/>
    <w:rsid w:val="008B6C37"/>
    <w:rsid w:val="008E18F7"/>
    <w:rsid w:val="008E1E10"/>
    <w:rsid w:val="008E291B"/>
    <w:rsid w:val="008E4F2F"/>
    <w:rsid w:val="008E74B0"/>
    <w:rsid w:val="009008A8"/>
    <w:rsid w:val="009063B0"/>
    <w:rsid w:val="00907106"/>
    <w:rsid w:val="009107FD"/>
    <w:rsid w:val="0091137C"/>
    <w:rsid w:val="00911567"/>
    <w:rsid w:val="00917AAE"/>
    <w:rsid w:val="009251A9"/>
    <w:rsid w:val="00930699"/>
    <w:rsid w:val="00931F69"/>
    <w:rsid w:val="00934123"/>
    <w:rsid w:val="009360DE"/>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F96"/>
    <w:rsid w:val="00996F0A"/>
    <w:rsid w:val="009A1D86"/>
    <w:rsid w:val="009B049C"/>
    <w:rsid w:val="009B11C8"/>
    <w:rsid w:val="009B2BCF"/>
    <w:rsid w:val="009B2FF8"/>
    <w:rsid w:val="009B5BA3"/>
    <w:rsid w:val="009C7E37"/>
    <w:rsid w:val="009D0027"/>
    <w:rsid w:val="009D0655"/>
    <w:rsid w:val="009E1E98"/>
    <w:rsid w:val="009E3ABE"/>
    <w:rsid w:val="009E3C4B"/>
    <w:rsid w:val="009F0637"/>
    <w:rsid w:val="009F62A6"/>
    <w:rsid w:val="009F674F"/>
    <w:rsid w:val="009F799E"/>
    <w:rsid w:val="00A02020"/>
    <w:rsid w:val="00A056CB"/>
    <w:rsid w:val="00A07A29"/>
    <w:rsid w:val="00A104BD"/>
    <w:rsid w:val="00A10FF1"/>
    <w:rsid w:val="00A1506B"/>
    <w:rsid w:val="00A17CB2"/>
    <w:rsid w:val="00A23191"/>
    <w:rsid w:val="00A319C0"/>
    <w:rsid w:val="00A33560"/>
    <w:rsid w:val="00A364E4"/>
    <w:rsid w:val="00A36DD6"/>
    <w:rsid w:val="00A371A5"/>
    <w:rsid w:val="00A47BDF"/>
    <w:rsid w:val="00A51CD7"/>
    <w:rsid w:val="00A52ADB"/>
    <w:rsid w:val="00A533E8"/>
    <w:rsid w:val="00A542D9"/>
    <w:rsid w:val="00A56E64"/>
    <w:rsid w:val="00A624C3"/>
    <w:rsid w:val="00A6641C"/>
    <w:rsid w:val="00A767D2"/>
    <w:rsid w:val="00A77616"/>
    <w:rsid w:val="00A805DA"/>
    <w:rsid w:val="00A811B4"/>
    <w:rsid w:val="00A81792"/>
    <w:rsid w:val="00A82E3D"/>
    <w:rsid w:val="00A87CDE"/>
    <w:rsid w:val="00A92BAF"/>
    <w:rsid w:val="00A94737"/>
    <w:rsid w:val="00A94BA3"/>
    <w:rsid w:val="00A96CBA"/>
    <w:rsid w:val="00AB1ACD"/>
    <w:rsid w:val="00AB277F"/>
    <w:rsid w:val="00AB4099"/>
    <w:rsid w:val="00AB449A"/>
    <w:rsid w:val="00AD14F9"/>
    <w:rsid w:val="00AD35D6"/>
    <w:rsid w:val="00AD58C5"/>
    <w:rsid w:val="00AE0B2D"/>
    <w:rsid w:val="00AE36C4"/>
    <w:rsid w:val="00AE472C"/>
    <w:rsid w:val="00AE5375"/>
    <w:rsid w:val="00AE6CF8"/>
    <w:rsid w:val="00AF4CAC"/>
    <w:rsid w:val="00AF5A2C"/>
    <w:rsid w:val="00AF797A"/>
    <w:rsid w:val="00B03E0D"/>
    <w:rsid w:val="00B054F8"/>
    <w:rsid w:val="00B0652A"/>
    <w:rsid w:val="00B2219A"/>
    <w:rsid w:val="00B3581B"/>
    <w:rsid w:val="00B36B81"/>
    <w:rsid w:val="00B36FEE"/>
    <w:rsid w:val="00B37C80"/>
    <w:rsid w:val="00B50453"/>
    <w:rsid w:val="00B504C2"/>
    <w:rsid w:val="00B5092B"/>
    <w:rsid w:val="00B5194E"/>
    <w:rsid w:val="00B51AF5"/>
    <w:rsid w:val="00B531FC"/>
    <w:rsid w:val="00B55347"/>
    <w:rsid w:val="00B57E5E"/>
    <w:rsid w:val="00B61F37"/>
    <w:rsid w:val="00B6463E"/>
    <w:rsid w:val="00B67912"/>
    <w:rsid w:val="00B7770F"/>
    <w:rsid w:val="00B77A89"/>
    <w:rsid w:val="00B77B27"/>
    <w:rsid w:val="00B8134E"/>
    <w:rsid w:val="00B81B55"/>
    <w:rsid w:val="00B820D3"/>
    <w:rsid w:val="00B84613"/>
    <w:rsid w:val="00B87AF0"/>
    <w:rsid w:val="00B9037B"/>
    <w:rsid w:val="00B910BD"/>
    <w:rsid w:val="00B93834"/>
    <w:rsid w:val="00B95C38"/>
    <w:rsid w:val="00B96469"/>
    <w:rsid w:val="00BA0DA2"/>
    <w:rsid w:val="00BA2981"/>
    <w:rsid w:val="00BA42EE"/>
    <w:rsid w:val="00BA48F9"/>
    <w:rsid w:val="00BB0C7D"/>
    <w:rsid w:val="00BB0D37"/>
    <w:rsid w:val="00BB0DCA"/>
    <w:rsid w:val="00BB2666"/>
    <w:rsid w:val="00BB6B80"/>
    <w:rsid w:val="00BC3773"/>
    <w:rsid w:val="00BC381A"/>
    <w:rsid w:val="00BD0962"/>
    <w:rsid w:val="00BD1EED"/>
    <w:rsid w:val="00BF0DA2"/>
    <w:rsid w:val="00BF109C"/>
    <w:rsid w:val="00BF34FA"/>
    <w:rsid w:val="00C004B6"/>
    <w:rsid w:val="00C047A7"/>
    <w:rsid w:val="00C05DE5"/>
    <w:rsid w:val="00C33027"/>
    <w:rsid w:val="00C34737"/>
    <w:rsid w:val="00C34D50"/>
    <w:rsid w:val="00C37667"/>
    <w:rsid w:val="00C435DB"/>
    <w:rsid w:val="00C44D73"/>
    <w:rsid w:val="00C50B42"/>
    <w:rsid w:val="00C516FF"/>
    <w:rsid w:val="00C52BFA"/>
    <w:rsid w:val="00C53D1D"/>
    <w:rsid w:val="00C53F26"/>
    <w:rsid w:val="00C540BC"/>
    <w:rsid w:val="00C64F7D"/>
    <w:rsid w:val="00C67309"/>
    <w:rsid w:val="00C7614E"/>
    <w:rsid w:val="00C76A23"/>
    <w:rsid w:val="00C77BF1"/>
    <w:rsid w:val="00C80D60"/>
    <w:rsid w:val="00C82FBD"/>
    <w:rsid w:val="00C85267"/>
    <w:rsid w:val="00C8721B"/>
    <w:rsid w:val="00C9372C"/>
    <w:rsid w:val="00C9470E"/>
    <w:rsid w:val="00C95CEB"/>
    <w:rsid w:val="00CA1054"/>
    <w:rsid w:val="00CA63EB"/>
    <w:rsid w:val="00CA69F1"/>
    <w:rsid w:val="00CB6991"/>
    <w:rsid w:val="00CC6194"/>
    <w:rsid w:val="00CC6305"/>
    <w:rsid w:val="00CC78A5"/>
    <w:rsid w:val="00CD0516"/>
    <w:rsid w:val="00CD6A34"/>
    <w:rsid w:val="00CD756B"/>
    <w:rsid w:val="00CE734F"/>
    <w:rsid w:val="00CF112E"/>
    <w:rsid w:val="00CF5F4F"/>
    <w:rsid w:val="00D218DC"/>
    <w:rsid w:val="00D24E56"/>
    <w:rsid w:val="00D31643"/>
    <w:rsid w:val="00D31AEB"/>
    <w:rsid w:val="00D32ECD"/>
    <w:rsid w:val="00D361E4"/>
    <w:rsid w:val="00D40B85"/>
    <w:rsid w:val="00D42A8F"/>
    <w:rsid w:val="00D439F6"/>
    <w:rsid w:val="00D459C6"/>
    <w:rsid w:val="00D505C6"/>
    <w:rsid w:val="00D50729"/>
    <w:rsid w:val="00D50C19"/>
    <w:rsid w:val="00D5136C"/>
    <w:rsid w:val="00D5379E"/>
    <w:rsid w:val="00D62643"/>
    <w:rsid w:val="00D64C0F"/>
    <w:rsid w:val="00D70749"/>
    <w:rsid w:val="00D72EFE"/>
    <w:rsid w:val="00D76227"/>
    <w:rsid w:val="00D77DF1"/>
    <w:rsid w:val="00D86AFF"/>
    <w:rsid w:val="00D95A44"/>
    <w:rsid w:val="00D95D16"/>
    <w:rsid w:val="00D97C76"/>
    <w:rsid w:val="00DB02B4"/>
    <w:rsid w:val="00DB076D"/>
    <w:rsid w:val="00DB538D"/>
    <w:rsid w:val="00DC275C"/>
    <w:rsid w:val="00DC4B0D"/>
    <w:rsid w:val="00DC7347"/>
    <w:rsid w:val="00DC7FE1"/>
    <w:rsid w:val="00DD0ACB"/>
    <w:rsid w:val="00DD3F3F"/>
    <w:rsid w:val="00DD5572"/>
    <w:rsid w:val="00DE5D80"/>
    <w:rsid w:val="00DF58CD"/>
    <w:rsid w:val="00DF65DE"/>
    <w:rsid w:val="00E019A5"/>
    <w:rsid w:val="00E02EC8"/>
    <w:rsid w:val="00E037F5"/>
    <w:rsid w:val="00E04ECB"/>
    <w:rsid w:val="00E05A09"/>
    <w:rsid w:val="00E05A0F"/>
    <w:rsid w:val="00E06CA1"/>
    <w:rsid w:val="00E172B8"/>
    <w:rsid w:val="00E17FB4"/>
    <w:rsid w:val="00E20B75"/>
    <w:rsid w:val="00E214F2"/>
    <w:rsid w:val="00E2371E"/>
    <w:rsid w:val="00E24BD7"/>
    <w:rsid w:val="00E26523"/>
    <w:rsid w:val="00E26809"/>
    <w:rsid w:val="00E3412D"/>
    <w:rsid w:val="00E5189F"/>
    <w:rsid w:val="00E57322"/>
    <w:rsid w:val="00E628CB"/>
    <w:rsid w:val="00E62AD9"/>
    <w:rsid w:val="00E638C8"/>
    <w:rsid w:val="00E712EC"/>
    <w:rsid w:val="00E7509B"/>
    <w:rsid w:val="00E86590"/>
    <w:rsid w:val="00E907FF"/>
    <w:rsid w:val="00EA42D1"/>
    <w:rsid w:val="00EA42EF"/>
    <w:rsid w:val="00EB2DD1"/>
    <w:rsid w:val="00EB6B37"/>
    <w:rsid w:val="00EC29FE"/>
    <w:rsid w:val="00EC3C70"/>
    <w:rsid w:val="00ED09BC"/>
    <w:rsid w:val="00ED3A3D"/>
    <w:rsid w:val="00ED538A"/>
    <w:rsid w:val="00ED6FBC"/>
    <w:rsid w:val="00EE1516"/>
    <w:rsid w:val="00EE1C80"/>
    <w:rsid w:val="00EE2F16"/>
    <w:rsid w:val="00EE3861"/>
    <w:rsid w:val="00EF2E73"/>
    <w:rsid w:val="00EF7683"/>
    <w:rsid w:val="00EF7A2D"/>
    <w:rsid w:val="00F04F8D"/>
    <w:rsid w:val="00F10AD0"/>
    <w:rsid w:val="00F116CC"/>
    <w:rsid w:val="00F12BD1"/>
    <w:rsid w:val="00F15327"/>
    <w:rsid w:val="00F168CF"/>
    <w:rsid w:val="00F22AEB"/>
    <w:rsid w:val="00F2555C"/>
    <w:rsid w:val="00F31DF3"/>
    <w:rsid w:val="00F33AE5"/>
    <w:rsid w:val="00F3597D"/>
    <w:rsid w:val="00F41B81"/>
    <w:rsid w:val="00F4376D"/>
    <w:rsid w:val="00F45399"/>
    <w:rsid w:val="00F465EA"/>
    <w:rsid w:val="00F54E7B"/>
    <w:rsid w:val="00F551EF"/>
    <w:rsid w:val="00F55A88"/>
    <w:rsid w:val="00F74005"/>
    <w:rsid w:val="00F76884"/>
    <w:rsid w:val="00F83D24"/>
    <w:rsid w:val="00F83DD9"/>
    <w:rsid w:val="00F83F40"/>
    <w:rsid w:val="00FA117A"/>
    <w:rsid w:val="00FA4EE0"/>
    <w:rsid w:val="00FB386A"/>
    <w:rsid w:val="00FC0786"/>
    <w:rsid w:val="00FC49EF"/>
    <w:rsid w:val="00FE36E2"/>
    <w:rsid w:val="00FF11AD"/>
    <w:rsid w:val="00FF2971"/>
    <w:rsid w:val="00FF34D4"/>
    <w:rsid w:val="00FF66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s>
</file>

<file path=word/webSettings.xml><?xml version="1.0" encoding="utf-8"?>
<w:webSettings xmlns:r="http://schemas.openxmlformats.org/officeDocument/2006/relationships" xmlns:w="http://schemas.openxmlformats.org/wordprocessingml/2006/main">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00906660">
      <w:bodyDiv w:val="1"/>
      <w:marLeft w:val="0"/>
      <w:marRight w:val="0"/>
      <w:marTop w:val="0"/>
      <w:marBottom w:val="0"/>
      <w:divBdr>
        <w:top w:val="none" w:sz="0" w:space="0" w:color="auto"/>
        <w:left w:val="none" w:sz="0" w:space="0" w:color="auto"/>
        <w:bottom w:val="none" w:sz="0" w:space="0" w:color="auto"/>
        <w:right w:val="none" w:sz="0" w:space="0" w:color="auto"/>
      </w:divBdr>
    </w:div>
    <w:div w:id="477115756">
      <w:bodyDiv w:val="1"/>
      <w:marLeft w:val="0"/>
      <w:marRight w:val="0"/>
      <w:marTop w:val="0"/>
      <w:marBottom w:val="0"/>
      <w:divBdr>
        <w:top w:val="none" w:sz="0" w:space="0" w:color="auto"/>
        <w:left w:val="none" w:sz="0" w:space="0" w:color="auto"/>
        <w:bottom w:val="none" w:sz="0" w:space="0" w:color="auto"/>
        <w:right w:val="none" w:sz="0" w:space="0" w:color="auto"/>
      </w:divBdr>
    </w:div>
    <w:div w:id="514661546">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41629507">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control.int/sites/default/files/content/documents/single-sky/pru/publications/other/TNC-Overview-Nov201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22F81-0177-45EE-BC88-0B71D6CB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5365</Words>
  <Characters>32193</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37484</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2015-05-14T12:26:00Z</dcterms:created>
  <dcterms:modified xsi:type="dcterms:W3CDTF">2015-05-14T12:26:00Z</dcterms:modified>
</cp:coreProperties>
</file>